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10" w:rsidRDefault="004C24DC">
      <w:pPr>
        <w:spacing w:before="113" w:after="113" w:line="360" w:lineRule="auto"/>
        <w:ind w:left="-284"/>
        <w:jc w:val="both"/>
        <w:textAlignment w:val="baseline"/>
        <w:rPr>
          <w:rFonts w:eastAsia="Times New Roman" w:cs="Arial"/>
          <w:b/>
          <w:bCs/>
          <w:iCs/>
          <w:sz w:val="20"/>
          <w:szCs w:val="20"/>
          <w:lang w:eastAsia="es-ES"/>
        </w:rPr>
      </w:pPr>
      <w:r>
        <w:rPr>
          <w:rFonts w:eastAsia="Times New Roman" w:cs="Arial"/>
          <w:b/>
          <w:bCs/>
          <w:iCs/>
          <w:sz w:val="20"/>
          <w:szCs w:val="20"/>
          <w:lang w:eastAsia="es-ES"/>
        </w:rPr>
        <w:t>ORDENANZA REGULADORA DO PREZO PÚBLICO POLA PRESTACIÓN DO SERVIZO DE ATENCIÓN RESIDENCIAL NO CENTRO DE ATENCIÓN A PERSOAS MAIORES DO CONCELLO DE</w:t>
      </w:r>
      <w:r w:rsidR="00B8179C">
        <w:rPr>
          <w:rFonts w:eastAsia="Times New Roman" w:cs="Arial"/>
          <w:b/>
          <w:bCs/>
          <w:iCs/>
          <w:sz w:val="20"/>
          <w:szCs w:val="20"/>
          <w:lang w:eastAsia="es-ES"/>
        </w:rPr>
        <w:t xml:space="preserve"> POL</w:t>
      </w:r>
      <w:r>
        <w:rPr>
          <w:rFonts w:eastAsia="Times New Roman" w:cs="Arial"/>
          <w:b/>
          <w:bCs/>
          <w:iCs/>
          <w:sz w:val="20"/>
          <w:szCs w:val="20"/>
          <w:lang w:eastAsia="es-ES"/>
        </w:rPr>
        <w:t>.</w:t>
      </w:r>
    </w:p>
    <w:p w:rsidR="005E0010" w:rsidRDefault="005E0010">
      <w:pPr>
        <w:spacing w:before="113" w:after="113" w:line="360" w:lineRule="auto"/>
        <w:jc w:val="both"/>
        <w:textAlignment w:val="baseline"/>
        <w:rPr>
          <w:rFonts w:eastAsia="Times New Roman" w:cs="Arial"/>
          <w:b/>
          <w:bCs/>
          <w:iCs/>
          <w:sz w:val="20"/>
          <w:szCs w:val="20"/>
          <w:lang w:eastAsia="es-ES"/>
        </w:rPr>
      </w:pPr>
    </w:p>
    <w:p w:rsidR="005E0010" w:rsidRDefault="004C24DC">
      <w:pPr>
        <w:spacing w:before="113" w:after="113" w:line="360" w:lineRule="auto"/>
        <w:ind w:left="-284"/>
        <w:jc w:val="both"/>
        <w:textAlignment w:val="baseline"/>
        <w:rPr>
          <w:sz w:val="20"/>
          <w:szCs w:val="20"/>
        </w:rPr>
      </w:pPr>
      <w:r>
        <w:rPr>
          <w:rFonts w:eastAsia="Times New Roman" w:cs="Arial"/>
          <w:b/>
          <w:bCs/>
          <w:iCs/>
          <w:sz w:val="20"/>
          <w:szCs w:val="20"/>
          <w:lang w:eastAsia="es-ES"/>
        </w:rPr>
        <w:t>Artigo 1.- Concepto</w:t>
      </w:r>
    </w:p>
    <w:p w:rsidR="005E0010" w:rsidRDefault="004C24DC">
      <w:pPr>
        <w:spacing w:before="113" w:after="113" w:line="360" w:lineRule="auto"/>
        <w:ind w:left="-284"/>
        <w:jc w:val="both"/>
        <w:textAlignment w:val="baseline"/>
        <w:rPr>
          <w:sz w:val="20"/>
          <w:szCs w:val="20"/>
        </w:rPr>
      </w:pPr>
      <w:r>
        <w:rPr>
          <w:rFonts w:eastAsia="Times New Roman" w:cs="Arial"/>
          <w:sz w:val="20"/>
          <w:szCs w:val="20"/>
          <w:lang w:eastAsia="es-ES"/>
        </w:rPr>
        <w:t>O Concello de</w:t>
      </w:r>
      <w:r w:rsidR="00B8179C">
        <w:rPr>
          <w:rFonts w:eastAsia="Times New Roman" w:cs="Arial"/>
          <w:sz w:val="20"/>
          <w:szCs w:val="20"/>
          <w:lang w:eastAsia="es-ES"/>
        </w:rPr>
        <w:t xml:space="preserve"> Pol, </w:t>
      </w:r>
      <w:r>
        <w:rPr>
          <w:rFonts w:eastAsia="Times New Roman" w:cs="Arial"/>
          <w:sz w:val="20"/>
          <w:szCs w:val="20"/>
          <w:lang w:eastAsia="es-ES"/>
        </w:rPr>
        <w:t xml:space="preserve">no exercicio das facultades concedidas polos </w:t>
      </w:r>
      <w:r>
        <w:rPr>
          <w:rFonts w:eastAsia="Times New Roman" w:cs="Arial"/>
          <w:sz w:val="20"/>
          <w:szCs w:val="20"/>
          <w:lang w:eastAsia="es-ES"/>
        </w:rPr>
        <w:t>artigos 133.2 e 142 da Constitución e polo artigo 106 da Lei 7/1985, do 2 de abril, reguladora das Bases do Réxime Local, ao abeiro do disposto polo artigo 148 en relación co 41, do Real decreto lexislativo 2/2004, do 5 de marzo, texto refundido da Lei reg</w:t>
      </w:r>
      <w:r>
        <w:rPr>
          <w:rFonts w:eastAsia="Times New Roman" w:cs="Arial"/>
          <w:sz w:val="20"/>
          <w:szCs w:val="20"/>
          <w:lang w:eastAsia="es-ES"/>
        </w:rPr>
        <w:t>uladora das facendas locais ( en diante TRLFL)</w:t>
      </w:r>
      <w:r>
        <w:rPr>
          <w:rFonts w:eastAsia="Times New Roman" w:cs="Arial"/>
          <w:b/>
          <w:sz w:val="20"/>
          <w:szCs w:val="20"/>
          <w:lang w:eastAsia="es-ES"/>
        </w:rPr>
        <w:t xml:space="preserve">, </w:t>
      </w:r>
      <w:r>
        <w:rPr>
          <w:rFonts w:eastAsia="Times New Roman" w:cs="Arial"/>
          <w:sz w:val="20"/>
          <w:szCs w:val="20"/>
          <w:lang w:eastAsia="es-ES"/>
        </w:rPr>
        <w:t xml:space="preserve">establece o prezo público polos servizos de asistencia e estancia no Servizo de Atención Residencial do Centro de Atención a Maiores do Concello de </w:t>
      </w:r>
      <w:r w:rsidR="00B8179C">
        <w:rPr>
          <w:rFonts w:eastAsia="Times New Roman" w:cs="Arial"/>
          <w:sz w:val="20"/>
          <w:szCs w:val="20"/>
          <w:lang w:eastAsia="es-ES"/>
        </w:rPr>
        <w:t>Pol</w:t>
      </w:r>
      <w:r>
        <w:rPr>
          <w:rFonts w:eastAsia="Times New Roman" w:cs="Arial"/>
          <w:sz w:val="20"/>
          <w:szCs w:val="20"/>
          <w:lang w:eastAsia="es-ES"/>
        </w:rPr>
        <w:t>, que se rexerá polas disposicións da presente o</w:t>
      </w:r>
      <w:r>
        <w:rPr>
          <w:rFonts w:eastAsia="Times New Roman" w:cs="Arial"/>
          <w:sz w:val="20"/>
          <w:szCs w:val="20"/>
          <w:lang w:eastAsia="es-ES"/>
        </w:rPr>
        <w:t>rdenanza.</w:t>
      </w:r>
    </w:p>
    <w:p w:rsidR="005E0010" w:rsidRDefault="004C24DC">
      <w:pPr>
        <w:spacing w:before="113" w:after="113" w:line="360" w:lineRule="auto"/>
        <w:ind w:left="-284"/>
        <w:jc w:val="both"/>
        <w:textAlignment w:val="baseline"/>
        <w:rPr>
          <w:sz w:val="20"/>
          <w:szCs w:val="20"/>
        </w:rPr>
      </w:pPr>
      <w:r>
        <w:rPr>
          <w:rFonts w:eastAsia="Times New Roman" w:cs="Arial"/>
          <w:b/>
          <w:sz w:val="20"/>
          <w:szCs w:val="20"/>
          <w:lang w:eastAsia="es-ES"/>
        </w:rPr>
        <w:t>Artigo 2.- Obrigado/a ao pagamento</w:t>
      </w:r>
    </w:p>
    <w:p w:rsidR="005E0010" w:rsidRDefault="004C24DC">
      <w:pPr>
        <w:spacing w:before="113" w:after="113" w:line="360" w:lineRule="auto"/>
        <w:ind w:left="-284"/>
        <w:jc w:val="both"/>
        <w:textAlignment w:val="baseline"/>
        <w:rPr>
          <w:rFonts w:eastAsia="Times New Roman" w:cs="Arial"/>
          <w:sz w:val="20"/>
          <w:szCs w:val="20"/>
          <w:lang w:eastAsia="es-ES"/>
        </w:rPr>
      </w:pPr>
      <w:bookmarkStart w:id="0" w:name="_GoBack"/>
      <w:r>
        <w:rPr>
          <w:rFonts w:eastAsia="Times New Roman" w:cs="Arial"/>
          <w:sz w:val="20"/>
          <w:szCs w:val="20"/>
          <w:lang w:eastAsia="es-ES"/>
        </w:rPr>
        <w:t>A participación da persoa usuaria no custo dos servizos terá a cualificación de prezo público, sendo o seu réxime xurídico o establecido na presente Ordenanza, así como no establecido polo Real Decreto Lexislati</w:t>
      </w:r>
      <w:r>
        <w:rPr>
          <w:rFonts w:eastAsia="Times New Roman" w:cs="Arial"/>
          <w:sz w:val="20"/>
          <w:szCs w:val="20"/>
          <w:lang w:eastAsia="es-ES"/>
        </w:rPr>
        <w:t xml:space="preserve">vo 2/2004 do 5 de marzo, polo que se aproba o texto refundido da Lei de Facendas Locais. </w:t>
      </w:r>
    </w:p>
    <w:bookmarkEnd w:id="0"/>
    <w:p w:rsidR="005E0010" w:rsidRDefault="004C24DC">
      <w:pPr>
        <w:spacing w:before="113" w:after="113" w:line="360" w:lineRule="auto"/>
        <w:ind w:left="-284"/>
        <w:jc w:val="both"/>
        <w:textAlignment w:val="baseline"/>
        <w:rPr>
          <w:sz w:val="20"/>
          <w:szCs w:val="20"/>
        </w:rPr>
      </w:pPr>
      <w:r>
        <w:rPr>
          <w:sz w:val="20"/>
          <w:szCs w:val="20"/>
        </w:rPr>
        <w:t>Estará obrigada a persoa usuaria ao pagamento dos prezos públicos regulados na presente, as persoas físicas que utilicen ou se beneficien dos servizos e actividades p</w:t>
      </w:r>
      <w:r>
        <w:rPr>
          <w:sz w:val="20"/>
          <w:szCs w:val="20"/>
        </w:rPr>
        <w:t>restadas ou realizadas no Servizo de Atención Residencial no Centro de Atención a Maiores de</w:t>
      </w:r>
      <w:r w:rsidR="00B8179C" w:rsidRPr="00B8179C">
        <w:rPr>
          <w:rFonts w:eastAsia="Times New Roman" w:cs="Arial"/>
          <w:sz w:val="20"/>
          <w:szCs w:val="20"/>
          <w:lang w:eastAsia="es-ES"/>
        </w:rPr>
        <w:t xml:space="preserve"> </w:t>
      </w:r>
      <w:r w:rsidR="00B8179C">
        <w:rPr>
          <w:rFonts w:eastAsia="Times New Roman" w:cs="Arial"/>
          <w:sz w:val="20"/>
          <w:szCs w:val="20"/>
          <w:lang w:eastAsia="es-ES"/>
        </w:rPr>
        <w:t>Pol</w:t>
      </w:r>
      <w:r w:rsidR="00B8179C">
        <w:rPr>
          <w:rFonts w:eastAsia="Times New Roman" w:cs="Arial"/>
          <w:sz w:val="20"/>
          <w:szCs w:val="20"/>
          <w:lang w:eastAsia="es-ES"/>
        </w:rPr>
        <w:t>,</w:t>
      </w:r>
      <w:r>
        <w:rPr>
          <w:sz w:val="20"/>
          <w:szCs w:val="20"/>
        </w:rPr>
        <w:t xml:space="preserve"> cando sexa de tracto sucesivo con execución continuada ou periódica e en todo caso, dende a data da ocupación efectiva da praza ou momento de inicio da s</w:t>
      </w:r>
      <w:r>
        <w:rPr>
          <w:sz w:val="20"/>
          <w:szCs w:val="20"/>
        </w:rPr>
        <w:t>úa prestación, ou do día en que teña lugar a reincorporación ou alta como consecuencia dunha baixa xustificada e exenta de pagamento ou momento do inicio da súa prestación da persoa usuaria</w:t>
      </w:r>
    </w:p>
    <w:p w:rsidR="005E0010" w:rsidRDefault="004C24DC">
      <w:pPr>
        <w:spacing w:before="113" w:after="113" w:line="360" w:lineRule="auto"/>
        <w:ind w:left="-284"/>
        <w:jc w:val="both"/>
        <w:textAlignment w:val="baseline"/>
        <w:rPr>
          <w:sz w:val="20"/>
          <w:szCs w:val="20"/>
        </w:rPr>
      </w:pPr>
      <w:r>
        <w:rPr>
          <w:rFonts w:eastAsia="Times New Roman" w:cs="Arial"/>
          <w:sz w:val="20"/>
          <w:szCs w:val="20"/>
          <w:lang w:eastAsia="es-ES"/>
        </w:rPr>
        <w:t>Nos supostos de persoas con modificación da capacidade de obrar, d</w:t>
      </w:r>
      <w:r>
        <w:rPr>
          <w:rFonts w:eastAsia="Times New Roman" w:cs="Arial"/>
          <w:sz w:val="20"/>
          <w:szCs w:val="20"/>
          <w:lang w:eastAsia="es-ES"/>
        </w:rPr>
        <w:t>eclarada por sentenza xudicial, o/a obrigado/a ao pagamento será o/a titora, ou representante legal, que efectuase a solicitude de ingreso, á cal deberá achegar a resolución xudicial, tanto do nomeamento da persoa titora ou representante como da autorizaci</w:t>
      </w:r>
      <w:r>
        <w:rPr>
          <w:rFonts w:eastAsia="Times New Roman" w:cs="Arial"/>
          <w:sz w:val="20"/>
          <w:szCs w:val="20"/>
          <w:lang w:eastAsia="es-ES"/>
        </w:rPr>
        <w:t>ón xudicial de ingreso.</w:t>
      </w:r>
    </w:p>
    <w:p w:rsidR="005E0010" w:rsidRDefault="004C24DC">
      <w:pPr>
        <w:spacing w:before="113" w:after="113" w:line="360" w:lineRule="auto"/>
        <w:ind w:left="-284"/>
        <w:jc w:val="both"/>
        <w:textAlignment w:val="baseline"/>
        <w:rPr>
          <w:rFonts w:eastAsia="Times New Roman" w:cs="Arial"/>
          <w:b/>
          <w:sz w:val="20"/>
          <w:szCs w:val="20"/>
          <w:lang w:eastAsia="es-ES"/>
        </w:rPr>
      </w:pPr>
      <w:r>
        <w:rPr>
          <w:rFonts w:eastAsia="Times New Roman" w:cs="Arial"/>
          <w:b/>
          <w:sz w:val="20"/>
          <w:szCs w:val="20"/>
          <w:lang w:eastAsia="es-ES"/>
        </w:rPr>
        <w:t>Artigo 3.- Contía dos servizos.</w:t>
      </w:r>
    </w:p>
    <w:p w:rsidR="005E0010" w:rsidRDefault="004C24DC">
      <w:pPr>
        <w:spacing w:before="113" w:after="113" w:line="360" w:lineRule="auto"/>
        <w:ind w:left="-284"/>
        <w:jc w:val="both"/>
        <w:textAlignment w:val="baseline"/>
        <w:rPr>
          <w:rFonts w:eastAsia="Times New Roman" w:cs="Liberation Serif"/>
          <w:sz w:val="20"/>
          <w:szCs w:val="20"/>
          <w:lang w:eastAsia="es-ES"/>
        </w:rPr>
      </w:pPr>
      <w:r>
        <w:rPr>
          <w:rFonts w:eastAsia="Times New Roman" w:cs="Liberation Serif"/>
          <w:sz w:val="20"/>
          <w:szCs w:val="20"/>
          <w:lang w:eastAsia="es-ES"/>
        </w:rPr>
        <w:t>Defínense como servizos básicos os que a continuación se relacionan: aloxamento; manutención e dietas; limpeza e mantemento das instalación; lavandería e xestión da roupa; servizos de valoración, segu</w:t>
      </w:r>
      <w:r>
        <w:rPr>
          <w:rFonts w:eastAsia="Times New Roman" w:cs="Liberation Serif"/>
          <w:sz w:val="20"/>
          <w:szCs w:val="20"/>
          <w:lang w:eastAsia="es-ES"/>
        </w:rPr>
        <w:t>imento, avaliación; apoio nas actividades da vida diaria; atención sanitaria preventiva; rehabilitación funcional; estimulación cognitiva; o calquera outro que estableza a ordenanza de acceso.</w:t>
      </w:r>
      <w:r>
        <w:rPr>
          <w:rFonts w:eastAsia="Times New Roman" w:cs="Arial"/>
          <w:b/>
          <w:sz w:val="20"/>
          <w:szCs w:val="20"/>
          <w:lang w:eastAsia="es-ES"/>
        </w:rPr>
        <w:t xml:space="preserve"> </w:t>
      </w:r>
      <w:r>
        <w:rPr>
          <w:rFonts w:eastAsia="Times New Roman" w:cs="Liberation Serif"/>
          <w:sz w:val="20"/>
          <w:szCs w:val="20"/>
          <w:lang w:eastAsia="es-ES"/>
        </w:rPr>
        <w:t>Consideraranse como servizos opcionais ou complementarios todos</w:t>
      </w:r>
      <w:r>
        <w:rPr>
          <w:rFonts w:eastAsia="Times New Roman" w:cs="Liberation Serif"/>
          <w:sz w:val="20"/>
          <w:szCs w:val="20"/>
          <w:lang w:eastAsia="es-ES"/>
        </w:rPr>
        <w:t xml:space="preserve"> aqueles servizos que non estean considerados como básicos. </w:t>
      </w:r>
    </w:p>
    <w:p w:rsidR="005E0010" w:rsidRDefault="004C24DC">
      <w:pPr>
        <w:spacing w:before="113" w:after="113" w:line="360" w:lineRule="auto"/>
        <w:ind w:left="-284"/>
        <w:jc w:val="both"/>
        <w:textAlignment w:val="baseline"/>
      </w:pPr>
      <w:r>
        <w:rPr>
          <w:rFonts w:eastAsia="Times New Roman" w:cs="Arial"/>
          <w:sz w:val="20"/>
          <w:szCs w:val="20"/>
          <w:lang w:eastAsia="es-ES"/>
        </w:rPr>
        <w:t>1.</w:t>
      </w:r>
      <w:r>
        <w:rPr>
          <w:rFonts w:eastAsia="Times New Roman" w:cs="Arial"/>
          <w:sz w:val="20"/>
          <w:szCs w:val="20"/>
          <w:lang w:eastAsia="es-ES"/>
        </w:rPr>
        <w:tab/>
        <w:t>As persoas usuarias dos servizos ao abeiro da modalidade excepcional segundo establece a ordenanza de acceso ao servizo, achegarán o importe total do custe de referencia do mesmo, é dicir, o c</w:t>
      </w:r>
      <w:r>
        <w:rPr>
          <w:rFonts w:eastAsia="Times New Roman" w:cs="Arial"/>
          <w:sz w:val="20"/>
          <w:szCs w:val="20"/>
          <w:lang w:eastAsia="es-ES"/>
        </w:rPr>
        <w:t>uste do servizo prestado tendo en conta a duración.</w:t>
      </w:r>
    </w:p>
    <w:p w:rsidR="005E0010" w:rsidRDefault="004C24DC">
      <w:pPr>
        <w:spacing w:before="113" w:after="113" w:line="360" w:lineRule="auto"/>
        <w:ind w:left="-284"/>
        <w:jc w:val="both"/>
        <w:textAlignment w:val="baseline"/>
        <w:rPr>
          <w:rFonts w:eastAsia="Times New Roman" w:cs="Arial"/>
          <w:sz w:val="20"/>
          <w:szCs w:val="20"/>
          <w:lang w:eastAsia="es-ES"/>
        </w:rPr>
      </w:pPr>
      <w:r>
        <w:rPr>
          <w:rFonts w:eastAsia="Times New Roman" w:cs="Arial"/>
          <w:sz w:val="20"/>
          <w:szCs w:val="20"/>
          <w:lang w:eastAsia="es-ES"/>
        </w:rPr>
        <w:lastRenderedPageBreak/>
        <w:t>2.</w:t>
      </w:r>
      <w:r>
        <w:rPr>
          <w:rFonts w:eastAsia="Times New Roman" w:cs="Arial"/>
          <w:sz w:val="20"/>
          <w:szCs w:val="20"/>
          <w:lang w:eastAsia="es-ES"/>
        </w:rPr>
        <w:tab/>
        <w:t>Para os servizos opcionais ou complementarios terase en conta o establecido na disposición adicional da presente ordenanza.</w:t>
      </w:r>
    </w:p>
    <w:p w:rsidR="005E0010" w:rsidRDefault="004C24DC">
      <w:pPr>
        <w:spacing w:before="113" w:after="113" w:line="360" w:lineRule="auto"/>
        <w:ind w:left="-284"/>
        <w:jc w:val="both"/>
        <w:textAlignment w:val="baseline"/>
        <w:rPr>
          <w:rFonts w:eastAsia="Times New Roman" w:cs="Arial"/>
          <w:b/>
          <w:sz w:val="20"/>
          <w:szCs w:val="20"/>
          <w:lang w:eastAsia="es-ES"/>
        </w:rPr>
      </w:pPr>
      <w:r>
        <w:rPr>
          <w:rFonts w:eastAsia="Times New Roman" w:cs="Arial"/>
          <w:sz w:val="20"/>
          <w:szCs w:val="20"/>
          <w:lang w:eastAsia="es-ES"/>
        </w:rPr>
        <w:t xml:space="preserve">3. Os parámetros ou variables </w:t>
      </w:r>
      <w:proofErr w:type="spellStart"/>
      <w:r>
        <w:rPr>
          <w:rFonts w:eastAsia="Times New Roman" w:cs="Arial"/>
          <w:sz w:val="20"/>
          <w:szCs w:val="20"/>
          <w:lang w:eastAsia="es-ES"/>
        </w:rPr>
        <w:t>económico-sociais</w:t>
      </w:r>
      <w:proofErr w:type="spellEnd"/>
      <w:r>
        <w:rPr>
          <w:rFonts w:eastAsia="Times New Roman" w:cs="Arial"/>
          <w:sz w:val="20"/>
          <w:szCs w:val="20"/>
          <w:lang w:eastAsia="es-ES"/>
        </w:rPr>
        <w:t xml:space="preserve"> a aplicar en orde a determina</w:t>
      </w:r>
      <w:r>
        <w:rPr>
          <w:rFonts w:eastAsia="Times New Roman" w:cs="Arial"/>
          <w:sz w:val="20"/>
          <w:szCs w:val="20"/>
          <w:lang w:eastAsia="es-ES"/>
        </w:rPr>
        <w:t>ción e liquidación do prezo público para os servizos básicos na modalidade ordinaria son:</w:t>
      </w:r>
    </w:p>
    <w:p w:rsidR="005E0010" w:rsidRDefault="004C24DC">
      <w:pPr>
        <w:pStyle w:val="Prrafodelista"/>
        <w:numPr>
          <w:ilvl w:val="0"/>
          <w:numId w:val="2"/>
        </w:numPr>
        <w:spacing w:before="113" w:after="113" w:line="360" w:lineRule="auto"/>
        <w:ind w:left="567" w:hanging="227"/>
        <w:jc w:val="both"/>
        <w:textAlignment w:val="baseline"/>
      </w:pPr>
      <w:r>
        <w:rPr>
          <w:rFonts w:eastAsia="Times New Roman" w:cs="Arial"/>
          <w:sz w:val="20"/>
          <w:szCs w:val="20"/>
          <w:lang w:eastAsia="es-ES"/>
        </w:rPr>
        <w:t xml:space="preserve">Custe de referencia do servizo de atención residencial, que será o determinado na memoria </w:t>
      </w:r>
      <w:proofErr w:type="spellStart"/>
      <w:r>
        <w:rPr>
          <w:rFonts w:eastAsia="Times New Roman" w:cs="Arial"/>
          <w:sz w:val="20"/>
          <w:szCs w:val="20"/>
          <w:lang w:eastAsia="es-ES"/>
        </w:rPr>
        <w:t>económico-financieira</w:t>
      </w:r>
      <w:proofErr w:type="spellEnd"/>
      <w:r>
        <w:rPr>
          <w:rFonts w:eastAsia="Times New Roman" w:cs="Arial"/>
          <w:sz w:val="20"/>
          <w:szCs w:val="20"/>
          <w:lang w:eastAsia="es-ES"/>
        </w:rPr>
        <w:t xml:space="preserve">. Na actualidade este custe está establecido en </w:t>
      </w:r>
      <w:r>
        <w:rPr>
          <w:rFonts w:eastAsia="Times New Roman" w:cs="Arial"/>
          <w:b/>
          <w:bCs/>
          <w:sz w:val="20"/>
          <w:szCs w:val="20"/>
          <w:lang w:eastAsia="es-ES"/>
        </w:rPr>
        <w:t>1.390,0</w:t>
      </w:r>
      <w:r>
        <w:rPr>
          <w:rFonts w:eastAsia="Times New Roman" w:cs="Arial"/>
          <w:b/>
          <w:bCs/>
          <w:sz w:val="20"/>
          <w:szCs w:val="20"/>
          <w:lang w:eastAsia="es-ES"/>
        </w:rPr>
        <w:t>0€</w:t>
      </w:r>
      <w:r>
        <w:rPr>
          <w:rFonts w:eastAsia="Times New Roman" w:cs="Arial"/>
          <w:sz w:val="20"/>
          <w:szCs w:val="20"/>
          <w:lang w:eastAsia="es-ES"/>
        </w:rPr>
        <w:t xml:space="preserve"> para persoas que acaden unha puntuación de dependente segundo o Índice de </w:t>
      </w:r>
      <w:proofErr w:type="spellStart"/>
      <w:r>
        <w:rPr>
          <w:rFonts w:eastAsia="Times New Roman" w:cs="Arial"/>
          <w:sz w:val="20"/>
          <w:szCs w:val="20"/>
          <w:lang w:eastAsia="es-ES"/>
        </w:rPr>
        <w:t>Barthel</w:t>
      </w:r>
      <w:proofErr w:type="spellEnd"/>
      <w:r>
        <w:rPr>
          <w:rFonts w:eastAsia="Times New Roman" w:cs="Arial"/>
          <w:sz w:val="20"/>
          <w:szCs w:val="20"/>
          <w:lang w:eastAsia="es-ES"/>
        </w:rPr>
        <w:t xml:space="preserve"> e </w:t>
      </w:r>
      <w:r>
        <w:rPr>
          <w:rFonts w:eastAsia="Times New Roman" w:cs="Arial"/>
          <w:b/>
          <w:bCs/>
          <w:sz w:val="20"/>
          <w:szCs w:val="20"/>
          <w:lang w:eastAsia="es-ES"/>
        </w:rPr>
        <w:t>1.080,00€</w:t>
      </w:r>
      <w:r>
        <w:rPr>
          <w:rFonts w:eastAsia="Times New Roman" w:cs="Arial"/>
          <w:sz w:val="20"/>
          <w:szCs w:val="20"/>
          <w:lang w:eastAsia="es-ES"/>
        </w:rPr>
        <w:t xml:space="preserve"> para as persoas que non acaden unha puntuación de dependente segundo o Índice mencionado. Estas contías revisaranse anualmente.</w:t>
      </w:r>
    </w:p>
    <w:p w:rsidR="005E0010" w:rsidRDefault="004C24DC">
      <w:pPr>
        <w:pStyle w:val="Prrafodelista"/>
        <w:numPr>
          <w:ilvl w:val="0"/>
          <w:numId w:val="2"/>
        </w:numPr>
        <w:spacing w:before="113" w:after="113" w:line="360" w:lineRule="auto"/>
        <w:ind w:left="567" w:hanging="227"/>
        <w:jc w:val="both"/>
        <w:textAlignment w:val="baseline"/>
        <w:rPr>
          <w:sz w:val="20"/>
          <w:szCs w:val="20"/>
        </w:rPr>
      </w:pPr>
      <w:proofErr w:type="spellStart"/>
      <w:r>
        <w:rPr>
          <w:rFonts w:eastAsia="Times New Roman" w:cs="Arial"/>
          <w:sz w:val="20"/>
          <w:szCs w:val="20"/>
          <w:lang w:eastAsia="es-ES"/>
        </w:rPr>
        <w:t>AsÍ</w:t>
      </w:r>
      <w:proofErr w:type="spellEnd"/>
      <w:r>
        <w:rPr>
          <w:rFonts w:eastAsia="Times New Roman" w:cs="Arial"/>
          <w:sz w:val="20"/>
          <w:szCs w:val="20"/>
          <w:lang w:eastAsia="es-ES"/>
        </w:rPr>
        <w:t xml:space="preserve"> mesmo, para os servizos bás</w:t>
      </w:r>
      <w:r>
        <w:rPr>
          <w:rFonts w:eastAsia="Times New Roman" w:cs="Arial"/>
          <w:sz w:val="20"/>
          <w:szCs w:val="20"/>
          <w:lang w:eastAsia="es-ES"/>
        </w:rPr>
        <w:t>icos na modalidade de acceso ordinaria regulada na oportuna ordenanza de acceso ao mesmo, terase en conta:</w:t>
      </w:r>
    </w:p>
    <w:p w:rsidR="005E0010" w:rsidRDefault="004C24DC">
      <w:pPr>
        <w:pStyle w:val="Prrafodelista"/>
        <w:numPr>
          <w:ilvl w:val="2"/>
          <w:numId w:val="2"/>
        </w:numPr>
        <w:spacing w:before="113" w:after="113" w:line="360" w:lineRule="auto"/>
        <w:ind w:left="1304" w:hanging="227"/>
        <w:jc w:val="both"/>
        <w:textAlignment w:val="baseline"/>
        <w:rPr>
          <w:sz w:val="20"/>
          <w:szCs w:val="20"/>
        </w:rPr>
      </w:pPr>
      <w:r>
        <w:rPr>
          <w:rFonts w:eastAsia="Times New Roman" w:cs="Arial"/>
          <w:sz w:val="20"/>
          <w:szCs w:val="20"/>
          <w:lang w:eastAsia="es-ES"/>
        </w:rPr>
        <w:t>A capacidade económica mensual en relación ao valor do IPREM establecido para cada anualidade</w:t>
      </w:r>
    </w:p>
    <w:p w:rsidR="005E0010" w:rsidRDefault="004C24DC">
      <w:pPr>
        <w:pStyle w:val="Prrafodelista"/>
        <w:numPr>
          <w:ilvl w:val="2"/>
          <w:numId w:val="2"/>
        </w:numPr>
        <w:spacing w:before="113" w:after="113" w:line="360" w:lineRule="auto"/>
        <w:ind w:left="1304" w:hanging="227"/>
        <w:jc w:val="both"/>
        <w:textAlignment w:val="baseline"/>
        <w:rPr>
          <w:sz w:val="20"/>
          <w:szCs w:val="20"/>
        </w:rPr>
      </w:pPr>
      <w:r>
        <w:rPr>
          <w:rFonts w:eastAsia="Times New Roman" w:cs="Arial"/>
          <w:sz w:val="20"/>
          <w:szCs w:val="20"/>
          <w:lang w:eastAsia="es-ES"/>
        </w:rPr>
        <w:t>O establecido na táboa de Servizo de Atención Residenci</w:t>
      </w:r>
      <w:r>
        <w:rPr>
          <w:rFonts w:eastAsia="Times New Roman" w:cs="Arial"/>
          <w:sz w:val="20"/>
          <w:szCs w:val="20"/>
          <w:lang w:eastAsia="es-ES"/>
        </w:rPr>
        <w:t>al (recollida no  do presente artigo)</w:t>
      </w:r>
    </w:p>
    <w:p w:rsidR="005E0010" w:rsidRDefault="004C24DC">
      <w:pPr>
        <w:pStyle w:val="Prrafodelista"/>
        <w:numPr>
          <w:ilvl w:val="2"/>
          <w:numId w:val="2"/>
        </w:numPr>
        <w:spacing w:before="113" w:after="113" w:line="360" w:lineRule="auto"/>
        <w:ind w:left="1304" w:hanging="227"/>
        <w:jc w:val="both"/>
        <w:textAlignment w:val="baseline"/>
        <w:rPr>
          <w:sz w:val="20"/>
          <w:szCs w:val="20"/>
        </w:rPr>
      </w:pPr>
      <w:r>
        <w:rPr>
          <w:rFonts w:eastAsia="Times New Roman" w:cs="Arial"/>
          <w:sz w:val="20"/>
          <w:szCs w:val="20"/>
          <w:lang w:eastAsia="es-ES"/>
        </w:rPr>
        <w:t>O mínimo vital.</w:t>
      </w:r>
    </w:p>
    <w:p w:rsidR="005E0010" w:rsidRDefault="004C24DC">
      <w:pPr>
        <w:spacing w:before="113" w:after="113" w:line="360" w:lineRule="auto"/>
        <w:jc w:val="both"/>
        <w:textAlignment w:val="baseline"/>
        <w:rPr>
          <w:rFonts w:eastAsia="Times New Roman" w:cs="Arial"/>
          <w:sz w:val="20"/>
          <w:szCs w:val="20"/>
          <w:lang w:eastAsia="es-ES"/>
        </w:rPr>
      </w:pPr>
      <w:r>
        <w:rPr>
          <w:rFonts w:eastAsia="Times New Roman" w:cs="Arial"/>
          <w:sz w:val="20"/>
          <w:szCs w:val="20"/>
          <w:lang w:eastAsia="es-ES"/>
        </w:rPr>
        <w:t xml:space="preserve">c. Non obstante terase en conta  o recollido no artigo 44.2 do Real decreto lexislativo 2/2004, do 5 de marzo, no cal se establece que en atención ás razóns socias que teñen lugar, poderase fixar unha participación reducida no custo do servizo.  </w:t>
      </w:r>
    </w:p>
    <w:p w:rsidR="005E0010" w:rsidRDefault="004C24DC">
      <w:pPr>
        <w:spacing w:before="113" w:after="113" w:line="360" w:lineRule="auto"/>
        <w:jc w:val="both"/>
        <w:textAlignment w:val="baseline"/>
        <w:rPr>
          <w:rFonts w:eastAsia="Times New Roman" w:cs="Arial"/>
          <w:sz w:val="20"/>
          <w:szCs w:val="20"/>
          <w:lang w:eastAsia="es-ES"/>
        </w:rPr>
      </w:pPr>
      <w:r>
        <w:rPr>
          <w:rFonts w:eastAsia="Times New Roman" w:cs="Arial"/>
          <w:sz w:val="20"/>
          <w:szCs w:val="20"/>
          <w:lang w:eastAsia="es-ES"/>
        </w:rPr>
        <w:t>4. Determ</w:t>
      </w:r>
      <w:r>
        <w:rPr>
          <w:rFonts w:eastAsia="Times New Roman" w:cs="Arial"/>
          <w:sz w:val="20"/>
          <w:szCs w:val="20"/>
          <w:lang w:eastAsia="es-ES"/>
        </w:rPr>
        <w:t>inación da participación económica para os servizos básicos na modalidade ordinaria en función da capacidade económica: Prezo Público.</w:t>
      </w:r>
    </w:p>
    <w:p w:rsidR="005E0010" w:rsidRDefault="004C24DC">
      <w:pPr>
        <w:tabs>
          <w:tab w:val="left" w:pos="855"/>
        </w:tabs>
        <w:spacing w:before="113" w:after="113" w:line="360" w:lineRule="auto"/>
        <w:ind w:left="-284"/>
        <w:jc w:val="both"/>
        <w:rPr>
          <w:rStyle w:val="Fuentedeprrafopredeter1"/>
          <w:rFonts w:cs="Calibri"/>
          <w:sz w:val="20"/>
          <w:szCs w:val="20"/>
        </w:rPr>
      </w:pPr>
      <w:r>
        <w:rPr>
          <w:rStyle w:val="Fuentedeprrafopredeter1"/>
          <w:rFonts w:cs="Calibri"/>
          <w:sz w:val="20"/>
          <w:szCs w:val="20"/>
        </w:rPr>
        <w:t xml:space="preserve">As persoas usuarias dos servizos básicos ao abeiro da modalidade ordinaria segundo establece a ordenanza de acceso ao </w:t>
      </w:r>
      <w:r>
        <w:rPr>
          <w:rStyle w:val="Fuentedeprrafopredeter1"/>
          <w:rFonts w:cs="Calibri"/>
          <w:sz w:val="20"/>
          <w:szCs w:val="20"/>
        </w:rPr>
        <w:t>servizo, participarán no financiamento do mesmo de acordo a súa capacidade económica mensual.</w:t>
      </w:r>
    </w:p>
    <w:p w:rsidR="005E0010" w:rsidRDefault="004C24DC">
      <w:pPr>
        <w:tabs>
          <w:tab w:val="left" w:pos="855"/>
        </w:tabs>
        <w:spacing w:before="113" w:after="113" w:line="360" w:lineRule="auto"/>
        <w:ind w:left="-284"/>
        <w:jc w:val="both"/>
        <w:rPr>
          <w:rFonts w:ascii="Calibri" w:eastAsia="Times New Roman" w:hAnsi="Calibri" w:cs="Liberation Serif"/>
          <w:sz w:val="20"/>
          <w:szCs w:val="20"/>
          <w:lang w:eastAsia="es-ES"/>
        </w:rPr>
      </w:pPr>
      <w:r>
        <w:rPr>
          <w:rFonts w:eastAsia="Times New Roman" w:cs="Liberation Serif"/>
          <w:sz w:val="20"/>
          <w:szCs w:val="20"/>
          <w:lang w:eastAsia="es-ES"/>
        </w:rPr>
        <w:t>A participación da persoa usuaria calcularase multiplicando a súa capacidade económica mensual pola porcentaxe que lle corresponda segundo a “Táboa Servizo de Ate</w:t>
      </w:r>
      <w:r>
        <w:rPr>
          <w:rFonts w:eastAsia="Times New Roman" w:cs="Liberation Serif"/>
          <w:sz w:val="20"/>
          <w:szCs w:val="20"/>
          <w:lang w:eastAsia="es-ES"/>
        </w:rPr>
        <w:t>nción Residencial”. Para determinar a porcentaxe a aplicar, deberase calcular a proporción da súa capacidade económica mensual respecto ao IPREM. A porcentaxe resultante establecerá o tramo da Táboa Servizo de Atención Residencial” a aplicar.</w:t>
      </w:r>
    </w:p>
    <w:p w:rsidR="005E0010" w:rsidRDefault="004C24DC">
      <w:pPr>
        <w:pStyle w:val="western"/>
        <w:spacing w:before="57" w:beforeAutospacing="0" w:after="113" w:line="360" w:lineRule="auto"/>
        <w:jc w:val="center"/>
      </w:pPr>
      <w:r>
        <w:rPr>
          <w:rFonts w:ascii="Calibri" w:hAnsi="Calibri"/>
          <w:b/>
          <w:bCs/>
          <w:sz w:val="20"/>
          <w:szCs w:val="20"/>
          <w:lang w:val="gl-ES"/>
        </w:rPr>
        <w:t>PU = CE</w:t>
      </w:r>
      <w:r>
        <w:rPr>
          <w:rFonts w:ascii="Calibri" w:hAnsi="Calibri"/>
          <w:b/>
          <w:bCs/>
          <w:sz w:val="20"/>
          <w:szCs w:val="20"/>
          <w:vertAlign w:val="subscript"/>
          <w:lang w:val="gl-ES"/>
        </w:rPr>
        <w:t xml:space="preserve">M </w:t>
      </w:r>
      <w:r>
        <w:rPr>
          <w:rFonts w:ascii="Calibri" w:hAnsi="Calibri"/>
          <w:b/>
          <w:bCs/>
          <w:sz w:val="20"/>
          <w:szCs w:val="20"/>
          <w:lang w:val="gl-ES"/>
        </w:rPr>
        <w:t>x po</w:t>
      </w:r>
      <w:r>
        <w:rPr>
          <w:rFonts w:ascii="Calibri" w:hAnsi="Calibri"/>
          <w:b/>
          <w:bCs/>
          <w:sz w:val="20"/>
          <w:szCs w:val="20"/>
          <w:lang w:val="gl-ES"/>
        </w:rPr>
        <w:t>rcentaxe “Táboa Servizo de Atención Residencial”</w:t>
      </w:r>
    </w:p>
    <w:p w:rsidR="005E0010" w:rsidRDefault="004C24DC">
      <w:pPr>
        <w:tabs>
          <w:tab w:val="left" w:pos="855"/>
        </w:tabs>
        <w:spacing w:before="113" w:after="113" w:line="360" w:lineRule="auto"/>
        <w:ind w:left="-284"/>
        <w:jc w:val="both"/>
      </w:pPr>
      <w:r>
        <w:rPr>
          <w:rStyle w:val="Fuentedeprrafopredeter1"/>
          <w:rFonts w:cs="Calibri"/>
          <w:sz w:val="20"/>
          <w:szCs w:val="20"/>
        </w:rPr>
        <w:t>Unha vez obtida a contía, respectarase o mínimo vital, calculados segundo o establecido no artigo 5,  que lle corresponda, e terase en conta os límites de participación no financiamento, dando finalmente o p</w:t>
      </w:r>
      <w:r>
        <w:rPr>
          <w:rStyle w:val="Fuentedeprrafopredeter1"/>
          <w:rFonts w:cs="Calibri"/>
          <w:sz w:val="20"/>
          <w:szCs w:val="20"/>
        </w:rPr>
        <w:t xml:space="preserve">rezo público a aboar pola persoa usuaria. </w:t>
      </w:r>
    </w:p>
    <w:p w:rsidR="005E0010" w:rsidRDefault="005E0010">
      <w:pPr>
        <w:tabs>
          <w:tab w:val="left" w:pos="855"/>
        </w:tabs>
        <w:spacing w:before="113" w:after="113" w:line="360" w:lineRule="auto"/>
        <w:ind w:left="-284"/>
        <w:jc w:val="both"/>
        <w:rPr>
          <w:rFonts w:cs="Calibri"/>
          <w:sz w:val="20"/>
          <w:szCs w:val="20"/>
        </w:rPr>
      </w:pPr>
    </w:p>
    <w:p w:rsidR="005E0010" w:rsidRDefault="005E0010">
      <w:pPr>
        <w:tabs>
          <w:tab w:val="left" w:pos="855"/>
        </w:tabs>
        <w:spacing w:before="113" w:after="113" w:line="360" w:lineRule="auto"/>
        <w:ind w:left="-284"/>
        <w:jc w:val="both"/>
        <w:rPr>
          <w:sz w:val="20"/>
          <w:szCs w:val="20"/>
        </w:rPr>
      </w:pPr>
    </w:p>
    <w:p w:rsidR="00B8179C" w:rsidRDefault="00B8179C">
      <w:pPr>
        <w:tabs>
          <w:tab w:val="left" w:pos="855"/>
        </w:tabs>
        <w:spacing w:before="113" w:after="113" w:line="360" w:lineRule="auto"/>
        <w:ind w:left="-284"/>
        <w:jc w:val="both"/>
        <w:rPr>
          <w:sz w:val="20"/>
          <w:szCs w:val="20"/>
        </w:rPr>
      </w:pPr>
    </w:p>
    <w:p w:rsidR="005E0010" w:rsidRDefault="004C24DC">
      <w:pPr>
        <w:tabs>
          <w:tab w:val="left" w:pos="855"/>
        </w:tabs>
        <w:spacing w:before="113" w:after="113" w:line="360" w:lineRule="auto"/>
        <w:ind w:left="-284"/>
        <w:jc w:val="both"/>
        <w:rPr>
          <w:sz w:val="20"/>
          <w:szCs w:val="20"/>
        </w:rPr>
      </w:pPr>
      <w:r>
        <w:rPr>
          <w:rStyle w:val="Fuentedeprrafopredeter1"/>
          <w:rFonts w:cs="Calibri"/>
          <w:sz w:val="20"/>
          <w:szCs w:val="20"/>
        </w:rPr>
        <w:t xml:space="preserve"> </w:t>
      </w:r>
    </w:p>
    <w:tbl>
      <w:tblPr>
        <w:tblW w:w="8388" w:type="dxa"/>
        <w:tblInd w:w="9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5" w:type="dxa"/>
          <w:left w:w="5" w:type="dxa"/>
          <w:bottom w:w="15" w:type="dxa"/>
          <w:right w:w="15" w:type="dxa"/>
        </w:tblCellMar>
        <w:tblLook w:val="04A0" w:firstRow="1" w:lastRow="0" w:firstColumn="1" w:lastColumn="0" w:noHBand="0" w:noVBand="1"/>
      </w:tblPr>
      <w:tblGrid>
        <w:gridCol w:w="2838"/>
        <w:gridCol w:w="100"/>
        <w:gridCol w:w="2787"/>
        <w:gridCol w:w="113"/>
        <w:gridCol w:w="2550"/>
      </w:tblGrid>
      <w:tr w:rsidR="005E0010">
        <w:trPr>
          <w:cantSplit/>
          <w:trHeight w:val="450"/>
          <w:tblHeader/>
        </w:trPr>
        <w:tc>
          <w:tcPr>
            <w:tcW w:w="8388"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4C24DC">
            <w:pPr>
              <w:spacing w:before="113" w:after="113"/>
              <w:jc w:val="center"/>
              <w:rPr>
                <w:sz w:val="20"/>
                <w:szCs w:val="20"/>
              </w:rPr>
            </w:pPr>
            <w:r>
              <w:rPr>
                <w:rFonts w:eastAsia="Calibri" w:cs="Calibri"/>
                <w:b/>
                <w:sz w:val="20"/>
                <w:szCs w:val="20"/>
                <w:lang w:eastAsia="ar-SA"/>
              </w:rPr>
              <w:lastRenderedPageBreak/>
              <w:t>Táboa de  servizo de Atención Residencial</w:t>
            </w:r>
          </w:p>
        </w:tc>
      </w:tr>
      <w:tr w:rsidR="005E0010">
        <w:trPr>
          <w:cantSplit/>
          <w:trHeight w:val="345"/>
          <w:tblHeader/>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b/>
                <w:sz w:val="20"/>
                <w:szCs w:val="20"/>
                <w:lang w:eastAsia="ar-SA"/>
              </w:rPr>
              <w:t xml:space="preserve">% da </w:t>
            </w:r>
            <w:proofErr w:type="spellStart"/>
            <w:r>
              <w:rPr>
                <w:rFonts w:eastAsia="Calibri" w:cs="Calibri"/>
                <w:b/>
                <w:sz w:val="20"/>
                <w:szCs w:val="20"/>
                <w:lang w:eastAsia="ar-SA"/>
              </w:rPr>
              <w:t>Ce</w:t>
            </w:r>
            <w:r>
              <w:rPr>
                <w:rFonts w:eastAsia="Calibri" w:cs="Calibri"/>
                <w:b/>
                <w:sz w:val="20"/>
                <w:szCs w:val="20"/>
                <w:vertAlign w:val="subscript"/>
                <w:lang w:eastAsia="ar-SA"/>
              </w:rPr>
              <w:t>m</w:t>
            </w:r>
            <w:proofErr w:type="spellEnd"/>
            <w:r>
              <w:rPr>
                <w:rFonts w:eastAsia="Calibri" w:cs="Calibri"/>
                <w:b/>
                <w:sz w:val="20"/>
                <w:szCs w:val="20"/>
                <w:lang w:eastAsia="ar-SA"/>
              </w:rPr>
              <w:t xml:space="preserve"> respecto do IPREM,  ATA</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b/>
                <w:sz w:val="20"/>
                <w:szCs w:val="20"/>
                <w:lang w:eastAsia="ar-SA"/>
              </w:rPr>
              <w:t>PERSOAS CON AUTONOMÍA</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b/>
                <w:sz w:val="20"/>
                <w:szCs w:val="20"/>
                <w:lang w:eastAsia="ar-SA"/>
              </w:rPr>
              <w:t>PERSOAS DEPENDENTES</w:t>
            </w:r>
          </w:p>
        </w:tc>
      </w:tr>
      <w:tr w:rsidR="005E0010">
        <w:trPr>
          <w:cantSplit/>
          <w:trHeight w:val="120"/>
          <w:tblHeader/>
        </w:trPr>
        <w:tc>
          <w:tcPr>
            <w:tcW w:w="283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4C24DC">
            <w:pPr>
              <w:spacing w:after="0" w:line="240" w:lineRule="auto"/>
              <w:jc w:val="center"/>
              <w:rPr>
                <w:rFonts w:cs="Arial"/>
                <w:sz w:val="20"/>
                <w:szCs w:val="20"/>
                <w:lang w:eastAsia="ar-SA"/>
              </w:rPr>
            </w:pPr>
            <w:r>
              <w:rPr>
                <w:rFonts w:cs="Arial"/>
                <w:sz w:val="20"/>
                <w:szCs w:val="20"/>
                <w:lang w:eastAsia="ar-SA"/>
              </w:rPr>
              <w:t xml:space="preserve">% sobre </w:t>
            </w:r>
            <w:proofErr w:type="spellStart"/>
            <w:r>
              <w:rPr>
                <w:rFonts w:eastAsia="Calibri" w:cs="Calibri"/>
                <w:b/>
                <w:sz w:val="20"/>
                <w:szCs w:val="20"/>
                <w:lang w:eastAsia="ar-SA"/>
              </w:rPr>
              <w:t>Ce</w:t>
            </w:r>
            <w:r>
              <w:rPr>
                <w:rFonts w:eastAsia="Calibri" w:cs="Calibri"/>
                <w:b/>
                <w:sz w:val="20"/>
                <w:szCs w:val="20"/>
                <w:vertAlign w:val="subscript"/>
                <w:lang w:eastAsia="ar-SA"/>
              </w:rPr>
              <w:t>m</w:t>
            </w:r>
            <w:proofErr w:type="spellEnd"/>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4C24DC">
            <w:pPr>
              <w:spacing w:after="0" w:line="240" w:lineRule="auto"/>
              <w:jc w:val="center"/>
              <w:rPr>
                <w:rFonts w:cs="Arial"/>
                <w:sz w:val="20"/>
                <w:szCs w:val="20"/>
                <w:lang w:eastAsia="ar-SA"/>
              </w:rPr>
            </w:pPr>
            <w:r>
              <w:rPr>
                <w:rFonts w:cs="Arial"/>
                <w:sz w:val="20"/>
                <w:szCs w:val="20"/>
                <w:lang w:eastAsia="ar-SA"/>
              </w:rPr>
              <w:t xml:space="preserve">% sobre </w:t>
            </w:r>
            <w:proofErr w:type="spellStart"/>
            <w:r>
              <w:rPr>
                <w:rFonts w:eastAsia="Calibri" w:cs="Calibri"/>
                <w:b/>
                <w:sz w:val="20"/>
                <w:szCs w:val="20"/>
                <w:lang w:eastAsia="ar-SA"/>
              </w:rPr>
              <w:t>Ce</w:t>
            </w:r>
            <w:r>
              <w:rPr>
                <w:rFonts w:eastAsia="Calibri" w:cs="Calibri"/>
                <w:b/>
                <w:sz w:val="20"/>
                <w:szCs w:val="20"/>
                <w:vertAlign w:val="subscript"/>
                <w:lang w:eastAsia="ar-SA"/>
              </w:rPr>
              <w:t>m</w:t>
            </w:r>
            <w:proofErr w:type="spellEnd"/>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75,00 %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69,50 %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73,45 %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82,50 %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70,13 %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73,97 %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90,75 %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70,82 %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74,54 %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99,83 %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71,58 %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75,17 %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109,81 %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72,42 %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75,87 %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120,79 %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73,34 %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76,63 %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132,87 %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74,36 %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77,47 %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146,15 %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75,47 %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78,39 %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160,77 %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76,70 %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79,41 %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176,85 %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78,05 %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80,52 %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194,53 %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79,53 %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81,75 %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213,98 %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81,16 %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83,10 %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235,38 %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82,96 %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84,59 %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258,92 %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84,94 %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86,22 %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284,81 %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87,11 %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88,03 %</w:t>
            </w:r>
          </w:p>
        </w:tc>
      </w:tr>
      <w:tr w:rsidR="005E0010">
        <w:trPr>
          <w:cantSplit/>
          <w:trHeight w:val="345"/>
        </w:trPr>
        <w:tc>
          <w:tcPr>
            <w:tcW w:w="2838"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Times New Roman"/>
                <w:color w:val="000000"/>
                <w:sz w:val="15"/>
                <w:szCs w:val="15"/>
              </w:rPr>
              <w:t>≥</w:t>
            </w:r>
            <w:r>
              <w:rPr>
                <w:rFonts w:eastAsia="Calibri" w:cs="Calibri"/>
                <w:sz w:val="20"/>
                <w:szCs w:val="20"/>
                <w:lang w:eastAsia="ar-SA"/>
              </w:rPr>
              <w:t>309,81 %</w:t>
            </w:r>
          </w:p>
        </w:tc>
        <w:tc>
          <w:tcPr>
            <w:tcW w:w="1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787"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89,50 %</w:t>
            </w:r>
          </w:p>
        </w:tc>
        <w:tc>
          <w:tcPr>
            <w:tcW w:w="11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5E0010" w:rsidRDefault="005E0010">
            <w:pPr>
              <w:spacing w:after="0" w:line="240" w:lineRule="auto"/>
              <w:jc w:val="center"/>
              <w:rPr>
                <w:rFonts w:cs="Arial"/>
                <w:sz w:val="20"/>
                <w:szCs w:val="20"/>
                <w:lang w:eastAsia="ar-SA"/>
              </w:rPr>
            </w:pPr>
          </w:p>
        </w:tc>
        <w:tc>
          <w:tcPr>
            <w:tcW w:w="2550" w:type="dxa"/>
            <w:tcBorders>
              <w:top w:val="single" w:sz="4" w:space="0" w:color="000001"/>
              <w:left w:val="single" w:sz="4" w:space="0" w:color="000001"/>
              <w:bottom w:val="single" w:sz="4" w:space="0" w:color="000001"/>
              <w:right w:val="single" w:sz="4" w:space="0" w:color="000001"/>
            </w:tcBorders>
            <w:shd w:val="clear" w:color="auto" w:fill="DFF6DF"/>
            <w:tcMar>
              <w:left w:w="5" w:type="dxa"/>
            </w:tcMar>
            <w:vAlign w:val="center"/>
          </w:tcPr>
          <w:p w:rsidR="005E0010" w:rsidRDefault="004C24DC">
            <w:pPr>
              <w:spacing w:after="0" w:line="240" w:lineRule="auto"/>
              <w:jc w:val="center"/>
              <w:rPr>
                <w:sz w:val="20"/>
                <w:szCs w:val="20"/>
              </w:rPr>
            </w:pPr>
            <w:r>
              <w:rPr>
                <w:rFonts w:eastAsia="Calibri" w:cs="Calibri"/>
                <w:sz w:val="20"/>
                <w:szCs w:val="20"/>
                <w:lang w:eastAsia="ar-SA"/>
              </w:rPr>
              <w:t>90,00 %</w:t>
            </w:r>
          </w:p>
        </w:tc>
      </w:tr>
    </w:tbl>
    <w:p w:rsidR="005E0010" w:rsidRDefault="005E0010">
      <w:pPr>
        <w:tabs>
          <w:tab w:val="left" w:pos="855"/>
        </w:tabs>
        <w:spacing w:before="113" w:after="113" w:line="360" w:lineRule="auto"/>
        <w:ind w:left="-284"/>
        <w:jc w:val="both"/>
        <w:rPr>
          <w:sz w:val="20"/>
          <w:szCs w:val="20"/>
        </w:rPr>
      </w:pPr>
    </w:p>
    <w:p w:rsidR="005E0010" w:rsidRDefault="004C24DC">
      <w:pPr>
        <w:spacing w:before="113" w:after="113" w:line="360" w:lineRule="auto"/>
        <w:ind w:left="-284"/>
        <w:jc w:val="both"/>
        <w:textAlignment w:val="baseline"/>
        <w:rPr>
          <w:sz w:val="20"/>
          <w:szCs w:val="20"/>
        </w:rPr>
      </w:pPr>
      <w:r>
        <w:rPr>
          <w:rFonts w:eastAsia="Times New Roman" w:cs="Arial"/>
          <w:b/>
          <w:sz w:val="20"/>
          <w:szCs w:val="20"/>
          <w:lang w:eastAsia="es-ES"/>
        </w:rPr>
        <w:t>Artigo 4. Determinación de capacidade económica.</w:t>
      </w:r>
    </w:p>
    <w:p w:rsidR="005E0010" w:rsidRDefault="004C24DC">
      <w:pPr>
        <w:tabs>
          <w:tab w:val="left" w:pos="855"/>
        </w:tabs>
        <w:spacing w:before="113" w:after="113" w:line="360" w:lineRule="auto"/>
        <w:ind w:left="-284"/>
        <w:jc w:val="both"/>
        <w:rPr>
          <w:sz w:val="20"/>
          <w:szCs w:val="20"/>
        </w:rPr>
      </w:pPr>
      <w:r>
        <w:rPr>
          <w:rStyle w:val="Fuentedeprrafopredeter1"/>
          <w:rFonts w:cs="Calibri"/>
          <w:bCs/>
          <w:sz w:val="20"/>
          <w:szCs w:val="20"/>
        </w:rPr>
        <w:t xml:space="preserve">4.1. Regras para a determinación da capacidade económica para os </w:t>
      </w:r>
      <w:r>
        <w:rPr>
          <w:rStyle w:val="Fuentedeprrafopredeter1"/>
          <w:rFonts w:cs="Calibri"/>
          <w:bCs/>
          <w:sz w:val="20"/>
          <w:szCs w:val="20"/>
        </w:rPr>
        <w:t>servizos prestados na modalidade ordinaria.</w:t>
      </w:r>
    </w:p>
    <w:p w:rsidR="005E0010" w:rsidRDefault="004C24DC">
      <w:pPr>
        <w:pStyle w:val="western"/>
        <w:spacing w:before="57" w:beforeAutospacing="0" w:after="113" w:line="360" w:lineRule="auto"/>
        <w:rPr>
          <w:rFonts w:ascii="Calibri" w:hAnsi="Calibri"/>
          <w:i/>
          <w:iCs/>
          <w:color w:val="00000A"/>
          <w:sz w:val="20"/>
          <w:szCs w:val="20"/>
          <w:lang w:val="gl-ES"/>
        </w:rPr>
      </w:pPr>
      <w:r>
        <w:rPr>
          <w:rStyle w:val="Fuentedeprrafopredeter1"/>
          <w:rFonts w:cs="Calibri"/>
          <w:b/>
          <w:bCs/>
          <w:color w:val="00000A"/>
          <w:sz w:val="20"/>
          <w:szCs w:val="20"/>
        </w:rPr>
        <w:t xml:space="preserve"> </w:t>
      </w:r>
      <w:r>
        <w:rPr>
          <w:rFonts w:ascii="Calibri" w:hAnsi="Calibri"/>
          <w:color w:val="00000A"/>
          <w:sz w:val="20"/>
          <w:szCs w:val="20"/>
          <w:lang w:val="gl-ES"/>
        </w:rPr>
        <w:t>A capacidade económica da persoa usuaria aos efectos desta Ordenanza será a resultante da suma de todos os ingresos en cómputo anual (</w:t>
      </w:r>
      <w:proofErr w:type="spellStart"/>
      <w:r>
        <w:rPr>
          <w:rFonts w:ascii="Calibri" w:hAnsi="Calibri"/>
          <w:color w:val="00000A"/>
          <w:sz w:val="20"/>
          <w:szCs w:val="20"/>
          <w:lang w:val="gl-ES"/>
        </w:rPr>
        <w:t>iga</w:t>
      </w:r>
      <w:proofErr w:type="spellEnd"/>
      <w:r>
        <w:rPr>
          <w:rFonts w:ascii="Calibri" w:hAnsi="Calibri"/>
          <w:color w:val="00000A"/>
          <w:sz w:val="20"/>
          <w:szCs w:val="20"/>
          <w:lang w:val="gl-ES"/>
        </w:rPr>
        <w:t>) máis a capacidade patrimonial (</w:t>
      </w:r>
      <w:proofErr w:type="spellStart"/>
      <w:r>
        <w:rPr>
          <w:rFonts w:ascii="Calibri" w:hAnsi="Calibri"/>
          <w:color w:val="00000A"/>
          <w:sz w:val="20"/>
          <w:szCs w:val="20"/>
          <w:lang w:val="gl-ES"/>
        </w:rPr>
        <w:t>Cp</w:t>
      </w:r>
      <w:proofErr w:type="spellEnd"/>
      <w:r>
        <w:rPr>
          <w:rFonts w:ascii="Calibri" w:hAnsi="Calibri"/>
          <w:color w:val="00000A"/>
          <w:sz w:val="20"/>
          <w:szCs w:val="20"/>
          <w:lang w:val="gl-ES"/>
        </w:rPr>
        <w:t>). A Capacidade Patrimonial calcularase</w:t>
      </w:r>
      <w:r>
        <w:rPr>
          <w:rFonts w:ascii="Calibri" w:hAnsi="Calibri"/>
          <w:color w:val="00000A"/>
          <w:sz w:val="20"/>
          <w:szCs w:val="20"/>
          <w:lang w:val="gl-ES"/>
        </w:rPr>
        <w:t xml:space="preserve"> en función do patrimonio a imputar, multiplicado polo coeficiente que lle corresponda na “</w:t>
      </w:r>
      <w:r>
        <w:rPr>
          <w:rFonts w:ascii="Calibri" w:hAnsi="Calibri"/>
          <w:i/>
          <w:iCs/>
          <w:color w:val="00000A"/>
          <w:sz w:val="20"/>
          <w:szCs w:val="20"/>
          <w:lang w:val="gl-ES"/>
        </w:rPr>
        <w:t>Táboa de patrimonio progresiva”.</w:t>
      </w:r>
    </w:p>
    <w:p w:rsidR="005E0010" w:rsidRDefault="004C24DC">
      <w:pPr>
        <w:pStyle w:val="western"/>
        <w:spacing w:before="57" w:beforeAutospacing="0" w:after="113" w:line="360" w:lineRule="auto"/>
        <w:rPr>
          <w:color w:val="00000A"/>
        </w:rPr>
      </w:pPr>
      <w:r>
        <w:rPr>
          <w:rFonts w:ascii="Calibri" w:hAnsi="Calibri"/>
          <w:color w:val="00000A"/>
          <w:sz w:val="20"/>
          <w:szCs w:val="20"/>
          <w:lang w:val="gl-ES"/>
        </w:rPr>
        <w:t>A capacidade económica (Ce) determinarase en cómputo anual, sen prexuízo de que para o cálculo da súa participación no custo dos ser</w:t>
      </w:r>
      <w:r>
        <w:rPr>
          <w:rFonts w:ascii="Calibri" w:hAnsi="Calibri"/>
          <w:color w:val="00000A"/>
          <w:sz w:val="20"/>
          <w:szCs w:val="20"/>
          <w:lang w:val="gl-ES"/>
        </w:rPr>
        <w:t xml:space="preserve">vizos se compute en termos mensuais calculada como a doceava parte da súa capacidade económica anual. </w:t>
      </w:r>
    </w:p>
    <w:p w:rsidR="005E0010" w:rsidRDefault="004C24DC">
      <w:pPr>
        <w:pStyle w:val="western"/>
        <w:spacing w:before="57" w:beforeAutospacing="0" w:after="113" w:line="360" w:lineRule="auto"/>
        <w:jc w:val="center"/>
        <w:rPr>
          <w:color w:val="00000A"/>
        </w:rPr>
      </w:pPr>
      <w:r>
        <w:rPr>
          <w:rFonts w:ascii="Calibri" w:hAnsi="Calibri"/>
          <w:b/>
          <w:bCs/>
          <w:color w:val="00000A"/>
          <w:sz w:val="20"/>
          <w:szCs w:val="20"/>
          <w:lang w:val="gl-ES"/>
        </w:rPr>
        <w:t>Ce= (</w:t>
      </w:r>
      <w:proofErr w:type="spellStart"/>
      <w:r>
        <w:rPr>
          <w:rFonts w:ascii="Calibri" w:hAnsi="Calibri"/>
          <w:b/>
          <w:bCs/>
          <w:color w:val="00000A"/>
          <w:sz w:val="20"/>
          <w:szCs w:val="20"/>
          <w:lang w:val="gl-ES"/>
        </w:rPr>
        <w:t>Iga</w:t>
      </w:r>
      <w:proofErr w:type="spellEnd"/>
      <w:r>
        <w:rPr>
          <w:rFonts w:ascii="Calibri" w:hAnsi="Calibri"/>
          <w:b/>
          <w:bCs/>
          <w:color w:val="00000A"/>
          <w:sz w:val="20"/>
          <w:szCs w:val="20"/>
          <w:lang w:val="gl-ES"/>
        </w:rPr>
        <w:t xml:space="preserve"> + </w:t>
      </w:r>
      <w:proofErr w:type="spellStart"/>
      <w:r>
        <w:rPr>
          <w:rFonts w:ascii="Calibri" w:hAnsi="Calibri"/>
          <w:b/>
          <w:bCs/>
          <w:color w:val="00000A"/>
          <w:sz w:val="20"/>
          <w:szCs w:val="20"/>
          <w:lang w:val="gl-ES"/>
        </w:rPr>
        <w:t>Cp</w:t>
      </w:r>
      <w:proofErr w:type="spellEnd"/>
      <w:r>
        <w:rPr>
          <w:rFonts w:ascii="Calibri" w:hAnsi="Calibri"/>
          <w:b/>
          <w:bCs/>
          <w:color w:val="00000A"/>
          <w:sz w:val="20"/>
          <w:szCs w:val="20"/>
          <w:lang w:val="gl-ES"/>
        </w:rPr>
        <w:t>)</w:t>
      </w:r>
    </w:p>
    <w:p w:rsidR="005E0010" w:rsidRDefault="004C24DC">
      <w:pPr>
        <w:pStyle w:val="western"/>
        <w:spacing w:before="57" w:beforeAutospacing="0" w:after="113" w:line="360" w:lineRule="auto"/>
        <w:jc w:val="center"/>
        <w:rPr>
          <w:rFonts w:ascii="Calibri" w:hAnsi="Calibri"/>
          <w:b/>
          <w:bCs/>
          <w:color w:val="00000A"/>
          <w:sz w:val="20"/>
          <w:szCs w:val="20"/>
          <w:lang w:val="gl-ES"/>
        </w:rPr>
      </w:pPr>
      <w:proofErr w:type="spellStart"/>
      <w:r>
        <w:rPr>
          <w:rFonts w:ascii="Calibri" w:hAnsi="Calibri"/>
          <w:b/>
          <w:bCs/>
          <w:color w:val="00000A"/>
          <w:sz w:val="20"/>
          <w:szCs w:val="20"/>
          <w:lang w:val="gl-ES"/>
        </w:rPr>
        <w:t>Ce</w:t>
      </w:r>
      <w:r>
        <w:rPr>
          <w:rFonts w:ascii="Calibri" w:hAnsi="Calibri"/>
          <w:b/>
          <w:bCs/>
          <w:color w:val="00000A"/>
          <w:sz w:val="20"/>
          <w:szCs w:val="20"/>
          <w:vertAlign w:val="subscript"/>
          <w:lang w:val="gl-ES"/>
        </w:rPr>
        <w:t>m</w:t>
      </w:r>
      <w:proofErr w:type="spellEnd"/>
      <w:r>
        <w:rPr>
          <w:rFonts w:ascii="Calibri" w:hAnsi="Calibri"/>
          <w:b/>
          <w:bCs/>
          <w:color w:val="00000A"/>
          <w:sz w:val="20"/>
          <w:szCs w:val="20"/>
          <w:lang w:val="gl-ES"/>
        </w:rPr>
        <w:t>= Ce/12</w:t>
      </w:r>
    </w:p>
    <w:p w:rsidR="005E0010" w:rsidRDefault="005E0010">
      <w:pPr>
        <w:pStyle w:val="western"/>
        <w:spacing w:before="57" w:beforeAutospacing="0" w:after="113" w:line="360" w:lineRule="auto"/>
        <w:jc w:val="center"/>
        <w:rPr>
          <w:rFonts w:ascii="Calibri" w:hAnsi="Calibri"/>
          <w:b/>
          <w:bCs/>
          <w:color w:val="00000A"/>
          <w:sz w:val="20"/>
          <w:szCs w:val="20"/>
          <w:lang w:val="gl-ES"/>
        </w:rPr>
      </w:pPr>
    </w:p>
    <w:p w:rsidR="005E0010" w:rsidRDefault="005E0010">
      <w:pPr>
        <w:pStyle w:val="western"/>
        <w:spacing w:before="57" w:beforeAutospacing="0" w:after="113" w:line="360" w:lineRule="auto"/>
        <w:rPr>
          <w:color w:val="00000A"/>
        </w:rPr>
      </w:pPr>
    </w:p>
    <w:p w:rsidR="005E0010" w:rsidRDefault="005E0010">
      <w:pPr>
        <w:tabs>
          <w:tab w:val="left" w:pos="855"/>
        </w:tabs>
        <w:spacing w:before="113" w:after="113" w:line="360" w:lineRule="auto"/>
        <w:jc w:val="both"/>
        <w:rPr>
          <w:sz w:val="20"/>
          <w:szCs w:val="20"/>
        </w:rPr>
      </w:pPr>
    </w:p>
    <w:p w:rsidR="005E0010" w:rsidRDefault="004C24DC">
      <w:pPr>
        <w:tabs>
          <w:tab w:val="left" w:pos="855"/>
        </w:tabs>
        <w:spacing w:before="113" w:after="113" w:line="360" w:lineRule="auto"/>
        <w:ind w:left="-284"/>
        <w:jc w:val="both"/>
        <w:rPr>
          <w:rStyle w:val="Fuentedeprrafopredeter1"/>
          <w:rFonts w:cs="Calibri"/>
          <w:sz w:val="20"/>
          <w:szCs w:val="20"/>
        </w:rPr>
      </w:pPr>
      <w:r>
        <w:rPr>
          <w:noProof/>
          <w:lang w:val="es-ES" w:eastAsia="es-ES"/>
        </w:rPr>
        <mc:AlternateContent>
          <mc:Choice Requires="wps">
            <w:drawing>
              <wp:anchor distT="0" distB="0" distL="89535" distR="89535" simplePos="0" relativeHeight="2" behindDoc="0" locked="0" layoutInCell="1" allowOverlap="1">
                <wp:simplePos x="0" y="0"/>
                <wp:positionH relativeFrom="column">
                  <wp:posOffset>1486535</wp:posOffset>
                </wp:positionH>
                <wp:positionV relativeFrom="paragraph">
                  <wp:posOffset>152400</wp:posOffset>
                </wp:positionV>
                <wp:extent cx="2281555" cy="3489960"/>
                <wp:effectExtent l="0" t="0" r="0" b="0"/>
                <wp:wrapSquare wrapText="bothSides"/>
                <wp:docPr id="1" name="Marco1"/>
                <wp:cNvGraphicFramePr/>
                <a:graphic xmlns:a="http://schemas.openxmlformats.org/drawingml/2006/main">
                  <a:graphicData uri="http://schemas.microsoft.com/office/word/2010/wordprocessingShape">
                    <wps:wsp>
                      <wps:cNvSpPr txBox="1"/>
                      <wps:spPr>
                        <a:xfrm>
                          <a:off x="0" y="0"/>
                          <a:ext cx="2281555" cy="3489960"/>
                        </a:xfrm>
                        <a:prstGeom prst="rect">
                          <a:avLst/>
                        </a:prstGeom>
                      </wps:spPr>
                      <wps:txbx>
                        <w:txbxContent>
                          <w:tbl>
                            <w:tblPr>
                              <w:tblW w:w="35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firstRow="1" w:lastRow="0" w:firstColumn="1" w:lastColumn="0" w:noHBand="0" w:noVBand="1"/>
                            </w:tblPr>
                            <w:tblGrid>
                              <w:gridCol w:w="942"/>
                              <w:gridCol w:w="2651"/>
                            </w:tblGrid>
                            <w:tr w:rsidR="005E0010">
                              <w:trPr>
                                <w:trHeight w:val="255"/>
                                <w:jc w:val="center"/>
                              </w:trPr>
                              <w:tc>
                                <w:tcPr>
                                  <w:tcW w:w="3592" w:type="dxa"/>
                                  <w:gridSpan w:val="2"/>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TÁBOA DE  PATRIMONIO PROGRESIVA</w:t>
                                  </w:r>
                                </w:p>
                              </w:tc>
                            </w:tr>
                            <w:tr w:rsidR="005E0010">
                              <w:trPr>
                                <w:trHeight w:val="420"/>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PATRIMONO</w:t>
                                  </w:r>
                                </w:p>
                                <w:p w:rsidR="005E0010" w:rsidRDefault="004C24DC">
                                  <w:pPr>
                                    <w:jc w:val="center"/>
                                  </w:pPr>
                                  <w:r>
                                    <w:rPr>
                                      <w:rFonts w:eastAsia="Times New Roman"/>
                                      <w:b/>
                                      <w:bCs/>
                                      <w:color w:val="000000"/>
                                      <w:sz w:val="15"/>
                                      <w:szCs w:val="15"/>
                                    </w:rPr>
                                    <w:t>ATA</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COEFICIENTE PROGRESIVO PATRIMONIO</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10.000,00 €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0,050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20.000,00 €</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0,060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30.000,00 €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0,070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40.000,00 €</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0,080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50.000,00 €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0,090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60.000,00 €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0,100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70.000,00 €</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0,110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80.000,00 €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0,120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90.000,00 €</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0,130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 xml:space="preserve">≥100.000,00 €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0,140</w:t>
                                  </w:r>
                                </w:p>
                              </w:tc>
                            </w:tr>
                          </w:tbl>
                          <w:p w:rsidR="00000000" w:rsidRDefault="004C24DC"/>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Marco1" o:spid="_x0000_s1026" type="#_x0000_t202" style="position:absolute;left:0;text-align:left;margin-left:117.05pt;margin-top:12pt;width:179.65pt;height:274.8pt;z-index: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" filled="f" stroked="f">
                <v:textbox style="mso-fit-shape-to-text:t" inset="0,0,0,0">
                  <w:txbxContent>
                    <w:tbl>
                      <w:tblPr>
                        <w:tblW w:w="35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firstRow="1" w:lastRow="0" w:firstColumn="1" w:lastColumn="0" w:noHBand="0" w:noVBand="1"/>
                      </w:tblPr>
                      <w:tblGrid>
                        <w:gridCol w:w="942"/>
                        <w:gridCol w:w="2651"/>
                      </w:tblGrid>
                      <w:tr w:rsidR="005E0010">
                        <w:trPr>
                          <w:trHeight w:val="255"/>
                          <w:jc w:val="center"/>
                        </w:trPr>
                        <w:tc>
                          <w:tcPr>
                            <w:tcW w:w="3592" w:type="dxa"/>
                            <w:gridSpan w:val="2"/>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TÁBOA DE  PATRIMONIO PROGRESIVA</w:t>
                            </w:r>
                          </w:p>
                        </w:tc>
                      </w:tr>
                      <w:tr w:rsidR="005E0010">
                        <w:trPr>
                          <w:trHeight w:val="420"/>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PATRIMONO</w:t>
                            </w:r>
                          </w:p>
                          <w:p w:rsidR="005E0010" w:rsidRDefault="004C24DC">
                            <w:pPr>
                              <w:jc w:val="center"/>
                            </w:pPr>
                            <w:r>
                              <w:rPr>
                                <w:rFonts w:eastAsia="Times New Roman"/>
                                <w:b/>
                                <w:bCs/>
                                <w:color w:val="000000"/>
                                <w:sz w:val="15"/>
                                <w:szCs w:val="15"/>
                              </w:rPr>
                              <w:t>ATA</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COEFICIENTE PROGRESIVO PATRIMONIO</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10.000,00 €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0,050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20.000,00 €</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0,060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30.000,00 €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0,070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40.000,00 €</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0,080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50.000,00 €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0,090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60.000,00 €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0,100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70.000,00 €</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0,110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80.000,00 €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0,120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90.000,00 €</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jc w:val="center"/>
                            </w:pPr>
                            <w:r>
                              <w:rPr>
                                <w:rFonts w:eastAsia="Times New Roman"/>
                                <w:color w:val="000000"/>
                                <w:sz w:val="15"/>
                                <w:szCs w:val="15"/>
                              </w:rPr>
                              <w:t>0,130</w:t>
                            </w:r>
                          </w:p>
                        </w:tc>
                      </w:tr>
                      <w:tr w:rsidR="005E0010">
                        <w:trPr>
                          <w:trHeight w:val="255"/>
                          <w:jc w:val="center"/>
                        </w:trPr>
                        <w:tc>
                          <w:tcPr>
                            <w:tcW w:w="942"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 xml:space="preserve">≥100.000,00 € </w:t>
                            </w:r>
                          </w:p>
                        </w:tc>
                        <w:tc>
                          <w:tcPr>
                            <w:tcW w:w="2650"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color w:val="000000"/>
                                <w:sz w:val="15"/>
                                <w:szCs w:val="15"/>
                              </w:rPr>
                              <w:t>0,140</w:t>
                            </w:r>
                          </w:p>
                        </w:tc>
                      </w:tr>
                    </w:tbl>
                    <w:p w:rsidR="00000000" w:rsidRDefault="004C24DC"/>
                  </w:txbxContent>
                </v:textbox>
                <w10:wrap type="square"/>
              </v:shape>
            </w:pict>
          </mc:Fallback>
        </mc:AlternateContent>
      </w:r>
    </w:p>
    <w:p w:rsidR="005E0010" w:rsidRDefault="005E0010">
      <w:pPr>
        <w:tabs>
          <w:tab w:val="left" w:pos="855"/>
        </w:tabs>
        <w:spacing w:before="113" w:after="113" w:line="360" w:lineRule="auto"/>
        <w:ind w:left="-284"/>
        <w:jc w:val="both"/>
        <w:rPr>
          <w:rStyle w:val="Fuentedeprrafopredeter1"/>
          <w:rFonts w:cs="Calibri"/>
          <w:sz w:val="20"/>
          <w:szCs w:val="20"/>
        </w:rPr>
      </w:pPr>
    </w:p>
    <w:p w:rsidR="005E0010" w:rsidRDefault="005E0010">
      <w:pPr>
        <w:tabs>
          <w:tab w:val="left" w:pos="855"/>
        </w:tabs>
        <w:spacing w:before="113" w:after="113" w:line="360" w:lineRule="auto"/>
        <w:ind w:left="-284"/>
        <w:jc w:val="both"/>
        <w:rPr>
          <w:rStyle w:val="Fuentedeprrafopredeter1"/>
          <w:rFonts w:cs="Calibri"/>
          <w:sz w:val="20"/>
          <w:szCs w:val="20"/>
        </w:rPr>
      </w:pPr>
    </w:p>
    <w:p w:rsidR="005E0010" w:rsidRDefault="005E0010">
      <w:pPr>
        <w:tabs>
          <w:tab w:val="left" w:pos="855"/>
        </w:tabs>
        <w:spacing w:before="113" w:after="113" w:line="360" w:lineRule="auto"/>
        <w:ind w:left="-284"/>
        <w:jc w:val="both"/>
        <w:rPr>
          <w:rStyle w:val="Fuentedeprrafopredeter1"/>
          <w:rFonts w:cs="Calibri"/>
          <w:sz w:val="20"/>
          <w:szCs w:val="20"/>
        </w:rPr>
      </w:pPr>
    </w:p>
    <w:p w:rsidR="005E0010" w:rsidRDefault="005E0010">
      <w:pPr>
        <w:tabs>
          <w:tab w:val="left" w:pos="855"/>
        </w:tabs>
        <w:spacing w:before="113" w:after="113" w:line="360" w:lineRule="auto"/>
        <w:ind w:left="-284"/>
        <w:jc w:val="both"/>
        <w:rPr>
          <w:rStyle w:val="Fuentedeprrafopredeter1"/>
          <w:rFonts w:cs="Calibri"/>
          <w:sz w:val="20"/>
          <w:szCs w:val="20"/>
        </w:rPr>
      </w:pPr>
    </w:p>
    <w:p w:rsidR="005E0010" w:rsidRDefault="005E0010">
      <w:pPr>
        <w:tabs>
          <w:tab w:val="left" w:pos="855"/>
        </w:tabs>
        <w:spacing w:before="113" w:after="113" w:line="360" w:lineRule="auto"/>
        <w:ind w:left="-284"/>
        <w:jc w:val="both"/>
        <w:rPr>
          <w:rStyle w:val="Fuentedeprrafopredeter1"/>
          <w:rFonts w:cs="Calibri"/>
          <w:sz w:val="20"/>
          <w:szCs w:val="20"/>
        </w:rPr>
      </w:pPr>
    </w:p>
    <w:p w:rsidR="005E0010" w:rsidRDefault="005E0010">
      <w:pPr>
        <w:tabs>
          <w:tab w:val="left" w:pos="855"/>
        </w:tabs>
        <w:spacing w:before="113" w:after="113" w:line="360" w:lineRule="auto"/>
        <w:ind w:left="-284"/>
        <w:jc w:val="both"/>
        <w:rPr>
          <w:rStyle w:val="Fuentedeprrafopredeter1"/>
          <w:rFonts w:cs="Calibri"/>
          <w:sz w:val="20"/>
          <w:szCs w:val="20"/>
        </w:rPr>
      </w:pPr>
    </w:p>
    <w:p w:rsidR="005E0010" w:rsidRDefault="005E0010">
      <w:pPr>
        <w:tabs>
          <w:tab w:val="left" w:pos="855"/>
        </w:tabs>
        <w:spacing w:before="113" w:after="113" w:line="360" w:lineRule="auto"/>
        <w:ind w:left="-284"/>
        <w:jc w:val="both"/>
        <w:rPr>
          <w:rStyle w:val="Fuentedeprrafopredeter1"/>
          <w:rFonts w:cs="Calibri"/>
          <w:sz w:val="20"/>
          <w:szCs w:val="20"/>
        </w:rPr>
      </w:pPr>
    </w:p>
    <w:p w:rsidR="005E0010" w:rsidRDefault="005E0010">
      <w:pPr>
        <w:tabs>
          <w:tab w:val="left" w:pos="855"/>
        </w:tabs>
        <w:spacing w:before="113" w:after="113" w:line="360" w:lineRule="auto"/>
        <w:ind w:left="-284"/>
        <w:jc w:val="both"/>
        <w:rPr>
          <w:rStyle w:val="Fuentedeprrafopredeter1"/>
          <w:rFonts w:cs="Calibri"/>
          <w:sz w:val="20"/>
          <w:szCs w:val="20"/>
        </w:rPr>
      </w:pPr>
    </w:p>
    <w:p w:rsidR="005E0010" w:rsidRDefault="005E0010">
      <w:pPr>
        <w:tabs>
          <w:tab w:val="left" w:pos="855"/>
        </w:tabs>
        <w:spacing w:before="113" w:after="113" w:line="360" w:lineRule="auto"/>
        <w:ind w:left="-284"/>
        <w:jc w:val="both"/>
        <w:rPr>
          <w:rStyle w:val="Fuentedeprrafopredeter1"/>
          <w:rFonts w:cs="Calibri"/>
          <w:sz w:val="20"/>
          <w:szCs w:val="20"/>
        </w:rPr>
      </w:pPr>
    </w:p>
    <w:p w:rsidR="005E0010" w:rsidRDefault="005E0010">
      <w:pPr>
        <w:tabs>
          <w:tab w:val="left" w:pos="855"/>
        </w:tabs>
        <w:spacing w:before="113" w:after="113" w:line="360" w:lineRule="auto"/>
        <w:ind w:left="-284"/>
        <w:jc w:val="both"/>
        <w:rPr>
          <w:rStyle w:val="Fuentedeprrafopredeter1"/>
          <w:rFonts w:cs="Calibri"/>
          <w:sz w:val="20"/>
          <w:szCs w:val="20"/>
        </w:rPr>
      </w:pPr>
    </w:p>
    <w:p w:rsidR="005E0010" w:rsidRDefault="005E0010">
      <w:pPr>
        <w:tabs>
          <w:tab w:val="left" w:pos="855"/>
        </w:tabs>
        <w:spacing w:before="113" w:after="113" w:line="360" w:lineRule="auto"/>
        <w:ind w:left="-284"/>
        <w:jc w:val="both"/>
        <w:rPr>
          <w:rStyle w:val="Fuentedeprrafopredeter1"/>
          <w:rFonts w:cs="Calibri"/>
          <w:sz w:val="20"/>
          <w:szCs w:val="20"/>
        </w:rPr>
      </w:pPr>
    </w:p>
    <w:p w:rsidR="005E0010" w:rsidRDefault="005E0010">
      <w:pPr>
        <w:tabs>
          <w:tab w:val="left" w:pos="855"/>
        </w:tabs>
        <w:spacing w:before="113" w:after="113" w:line="360" w:lineRule="auto"/>
        <w:jc w:val="both"/>
        <w:rPr>
          <w:rStyle w:val="Fuentedeprrafopredeter1"/>
          <w:rFonts w:cs="Calibri"/>
          <w:sz w:val="20"/>
          <w:szCs w:val="20"/>
        </w:rPr>
      </w:pPr>
    </w:p>
    <w:p w:rsidR="005E0010" w:rsidRDefault="004C24DC">
      <w:pPr>
        <w:tabs>
          <w:tab w:val="left" w:pos="855"/>
        </w:tabs>
        <w:spacing w:before="113" w:after="113" w:line="360" w:lineRule="auto"/>
        <w:jc w:val="both"/>
        <w:rPr>
          <w:rFonts w:cs="Calibri"/>
          <w:sz w:val="20"/>
          <w:szCs w:val="20"/>
        </w:rPr>
      </w:pPr>
      <w:r>
        <w:rPr>
          <w:rStyle w:val="Fuentedeprrafopredeter1"/>
          <w:rFonts w:cs="Calibri"/>
          <w:sz w:val="20"/>
          <w:szCs w:val="20"/>
        </w:rPr>
        <w:t>O período para computar a determinación da capacidade económica será o último exercicio fiscal pechado. Non obstante, cando a capacidade económica da persoa usuaria só proveña da percepción de pensións, prestacións públicas o período que se computará na sú</w:t>
      </w:r>
      <w:r>
        <w:rPr>
          <w:rStyle w:val="Fuentedeprrafopredeter1"/>
          <w:rFonts w:cs="Calibri"/>
          <w:sz w:val="20"/>
          <w:szCs w:val="20"/>
        </w:rPr>
        <w:t xml:space="preserve">a determinación será o correspondente ao exercicio en que se presente a solicitude. </w:t>
      </w:r>
    </w:p>
    <w:p w:rsidR="005E0010" w:rsidRDefault="005E0010">
      <w:pPr>
        <w:tabs>
          <w:tab w:val="left" w:pos="855"/>
        </w:tabs>
        <w:spacing w:before="113" w:after="113" w:line="360" w:lineRule="auto"/>
        <w:jc w:val="both"/>
        <w:rPr>
          <w:sz w:val="20"/>
          <w:szCs w:val="20"/>
        </w:rPr>
      </w:pPr>
    </w:p>
    <w:p w:rsidR="005E0010" w:rsidRDefault="004C24DC">
      <w:pPr>
        <w:tabs>
          <w:tab w:val="left" w:pos="855"/>
        </w:tabs>
        <w:spacing w:before="113" w:after="113" w:line="360" w:lineRule="auto"/>
        <w:ind w:left="-284"/>
        <w:jc w:val="both"/>
        <w:rPr>
          <w:sz w:val="20"/>
          <w:szCs w:val="20"/>
        </w:rPr>
      </w:pPr>
      <w:r>
        <w:rPr>
          <w:rStyle w:val="Fuentedeprrafopredeter1"/>
          <w:rFonts w:cs="Calibri"/>
          <w:bCs/>
          <w:sz w:val="20"/>
          <w:szCs w:val="20"/>
        </w:rPr>
        <w:t>4.2. Normas de valoración para o cálculo da capacidade económica.</w:t>
      </w:r>
    </w:p>
    <w:p w:rsidR="005E0010" w:rsidRDefault="004C24DC">
      <w:pPr>
        <w:pStyle w:val="Prrafodelista"/>
        <w:suppressAutoHyphens/>
        <w:spacing w:before="113" w:after="113" w:line="360" w:lineRule="auto"/>
        <w:ind w:left="-284"/>
        <w:jc w:val="both"/>
        <w:rPr>
          <w:sz w:val="20"/>
          <w:szCs w:val="20"/>
        </w:rPr>
      </w:pPr>
      <w:r>
        <w:rPr>
          <w:rStyle w:val="Fuentedeprrafopredeter1"/>
          <w:rFonts w:cs="Calibri"/>
          <w:b/>
          <w:sz w:val="20"/>
          <w:szCs w:val="20"/>
        </w:rPr>
        <w:t>a.Ingresos:</w:t>
      </w:r>
      <w:r>
        <w:rPr>
          <w:rStyle w:val="Fuentedeprrafopredeter1"/>
          <w:rFonts w:cs="Calibri"/>
          <w:sz w:val="20"/>
          <w:szCs w:val="20"/>
        </w:rPr>
        <w:t xml:space="preserve"> Considéranse a totalidade dos ingresos calquera que sexa a fonte de procedencia, derivados d</w:t>
      </w:r>
      <w:r>
        <w:rPr>
          <w:rStyle w:val="Fuentedeprrafopredeter1"/>
          <w:rFonts w:cs="Calibri"/>
          <w:sz w:val="20"/>
          <w:szCs w:val="20"/>
        </w:rPr>
        <w:t>irecta ou indirectamente do traballo persoal, dos bens e dereitos integrantes do seu patrimonio, das pensións e/ou prestacións, e do exercicio de actividades económicas, así como os que se obteñan como consecuencia dunha alteración na composición do patrim</w:t>
      </w:r>
      <w:r>
        <w:rPr>
          <w:rStyle w:val="Fuentedeprrafopredeter1"/>
          <w:rFonts w:cs="Calibri"/>
          <w:sz w:val="20"/>
          <w:szCs w:val="20"/>
        </w:rPr>
        <w:t>onio.</w:t>
      </w:r>
      <w:r>
        <w:rPr>
          <w:rStyle w:val="Fuentedeprrafopredeter1"/>
          <w:sz w:val="20"/>
          <w:szCs w:val="20"/>
        </w:rPr>
        <w:t xml:space="preserve"> </w:t>
      </w:r>
    </w:p>
    <w:p w:rsidR="005E0010" w:rsidRDefault="004C24DC">
      <w:pPr>
        <w:spacing w:before="113" w:after="113" w:line="360" w:lineRule="auto"/>
        <w:ind w:left="-284"/>
        <w:jc w:val="both"/>
        <w:rPr>
          <w:sz w:val="20"/>
          <w:szCs w:val="20"/>
        </w:rPr>
      </w:pPr>
      <w:r>
        <w:rPr>
          <w:rStyle w:val="Fuentedeprrafopredeter1"/>
          <w:rFonts w:cs="Calibri"/>
          <w:sz w:val="20"/>
          <w:szCs w:val="20"/>
        </w:rPr>
        <w:t>Non serán obxecto de cómputo, para os efectos da determinación da capacidade económica da persoa usuaria, as axudas económicas establecidas na Lei 11/2007, do 27 de xullo, galega para a prevención e tratamento integral da violencia de xénero, nin as</w:t>
      </w:r>
      <w:r>
        <w:rPr>
          <w:rStyle w:val="Fuentedeprrafopredeter1"/>
          <w:rFonts w:cs="Calibri"/>
          <w:sz w:val="20"/>
          <w:szCs w:val="20"/>
        </w:rPr>
        <w:t xml:space="preserve"> recollidas no artigo 27 da Lei orgánica 1/2004, do 28 de decembro, de medidas de protección integral contra la violencia de xénero.</w:t>
      </w:r>
    </w:p>
    <w:p w:rsidR="005E0010" w:rsidRDefault="004C24DC">
      <w:pPr>
        <w:spacing w:before="113" w:after="113" w:line="360" w:lineRule="auto"/>
        <w:ind w:left="-284"/>
        <w:jc w:val="both"/>
        <w:rPr>
          <w:sz w:val="20"/>
          <w:szCs w:val="20"/>
        </w:rPr>
      </w:pPr>
      <w:r>
        <w:rPr>
          <w:rStyle w:val="Fuentedeprrafopredeter1"/>
          <w:rFonts w:cs="Calibri"/>
          <w:sz w:val="20"/>
          <w:szCs w:val="20"/>
        </w:rPr>
        <w:t>Cando a persoa usuaria opte por presentar a declaración do imposto sobre a renda das persoas físicas de forma conxunta, a s</w:t>
      </w:r>
      <w:r>
        <w:rPr>
          <w:rStyle w:val="Fuentedeprrafopredeter1"/>
          <w:rFonts w:cs="Calibri"/>
          <w:sz w:val="20"/>
          <w:szCs w:val="20"/>
        </w:rPr>
        <w:t>úa renda final virá determinada polo cociente de dividir entre dous a suma dos ingresos de ambos os dous membros da parella.</w:t>
      </w:r>
    </w:p>
    <w:p w:rsidR="005E0010" w:rsidRDefault="004C24DC">
      <w:pPr>
        <w:pStyle w:val="Prrafodelista"/>
        <w:tabs>
          <w:tab w:val="left" w:pos="0"/>
        </w:tabs>
        <w:suppressAutoHyphens/>
        <w:spacing w:before="113" w:after="113" w:line="360" w:lineRule="auto"/>
        <w:ind w:left="-284"/>
        <w:jc w:val="both"/>
        <w:rPr>
          <w:sz w:val="20"/>
          <w:szCs w:val="20"/>
        </w:rPr>
      </w:pPr>
      <w:r>
        <w:rPr>
          <w:rStyle w:val="Fuentedeprrafopredeter1"/>
          <w:rFonts w:cs="Calibri"/>
          <w:b/>
          <w:sz w:val="20"/>
          <w:szCs w:val="20"/>
        </w:rPr>
        <w:lastRenderedPageBreak/>
        <w:t>b.Bens patrimoniais:</w:t>
      </w:r>
      <w:r>
        <w:rPr>
          <w:rStyle w:val="Fuentedeprrafopredeter1"/>
          <w:rFonts w:cs="Calibri"/>
          <w:sz w:val="20"/>
          <w:szCs w:val="20"/>
        </w:rPr>
        <w:t xml:space="preserve"> Computaranse o conxunto de bens e dereitos de contido económico titularidade da persoa usuaria,  con dedución </w:t>
      </w:r>
      <w:r>
        <w:rPr>
          <w:rStyle w:val="Fuentedeprrafopredeter1"/>
          <w:rFonts w:cs="Calibri"/>
          <w:sz w:val="20"/>
          <w:szCs w:val="20"/>
        </w:rPr>
        <w:t>das cargas e gravames de natureza real que diminúan o seu valor, así como das débedas e obrigas persoais das cales deba responder, depósitos ou imposicións bancarias, contas correntes ou de aforro, fondos de inversión ou instrumentos similares de colocació</w:t>
      </w:r>
      <w:r>
        <w:rPr>
          <w:rStyle w:val="Fuentedeprrafopredeter1"/>
          <w:rFonts w:cs="Calibri"/>
          <w:sz w:val="20"/>
          <w:szCs w:val="20"/>
        </w:rPr>
        <w:t>n de efectivo. Terán a consideración de bens patrimoniais para os efectos deste artigo, ademais dos relativos a colocación de efectivo, os bens mobles ou inmobles sobre os cales se posúa un dereito de propiedade, posesión ou calquera outro de análoga natur</w:t>
      </w:r>
      <w:r>
        <w:rPr>
          <w:rStyle w:val="Fuentedeprrafopredeter1"/>
          <w:rFonts w:cs="Calibri"/>
          <w:sz w:val="20"/>
          <w:szCs w:val="20"/>
        </w:rPr>
        <w:t xml:space="preserve">eza. Para a tradución económica destes inmobles atenderase ao seu valor catastral. </w:t>
      </w:r>
    </w:p>
    <w:p w:rsidR="005E0010" w:rsidRDefault="004C24DC">
      <w:pPr>
        <w:tabs>
          <w:tab w:val="left" w:pos="0"/>
        </w:tabs>
        <w:spacing w:before="113" w:after="113" w:line="360" w:lineRule="auto"/>
        <w:ind w:left="-284"/>
        <w:jc w:val="both"/>
        <w:rPr>
          <w:sz w:val="20"/>
          <w:szCs w:val="20"/>
        </w:rPr>
      </w:pPr>
      <w:r>
        <w:rPr>
          <w:rStyle w:val="Fuentedeprrafopredeter1"/>
          <w:rFonts w:cs="Calibri"/>
          <w:sz w:val="20"/>
          <w:szCs w:val="20"/>
        </w:rPr>
        <w:t>A vivenda habitual computarse polo valor catastral no exercicio que se toma como referencia para o cálculo da capacidade económica da vivenda ou, na súa falta, o valor escr</w:t>
      </w:r>
      <w:r>
        <w:rPr>
          <w:rStyle w:val="Fuentedeprrafopredeter1"/>
          <w:rFonts w:cs="Calibri"/>
          <w:sz w:val="20"/>
          <w:szCs w:val="20"/>
        </w:rPr>
        <w:t xml:space="preserve">iturado. Nos supostos de </w:t>
      </w:r>
      <w:proofErr w:type="spellStart"/>
      <w:r>
        <w:rPr>
          <w:rStyle w:val="Fuentedeprrafopredeter1"/>
          <w:rFonts w:cs="Calibri"/>
          <w:sz w:val="20"/>
          <w:szCs w:val="20"/>
        </w:rPr>
        <w:t>cotitularidade</w:t>
      </w:r>
      <w:proofErr w:type="spellEnd"/>
      <w:r>
        <w:rPr>
          <w:rStyle w:val="Fuentedeprrafopredeter1"/>
          <w:rFonts w:cs="Calibri"/>
          <w:sz w:val="20"/>
          <w:szCs w:val="20"/>
        </w:rPr>
        <w:t xml:space="preserve"> só se terá en conta a porcentaxe correspondente á propiedade da persoa beneficiaria. </w:t>
      </w:r>
    </w:p>
    <w:p w:rsidR="005E0010" w:rsidRDefault="004C24DC">
      <w:pPr>
        <w:tabs>
          <w:tab w:val="left" w:pos="0"/>
        </w:tabs>
        <w:spacing w:before="113" w:after="113" w:line="360" w:lineRule="auto"/>
        <w:ind w:left="-284"/>
        <w:jc w:val="both"/>
        <w:rPr>
          <w:sz w:val="20"/>
          <w:szCs w:val="20"/>
        </w:rPr>
      </w:pPr>
      <w:r>
        <w:rPr>
          <w:rStyle w:val="Fuentedeprrafopredeter1"/>
          <w:rFonts w:cs="Calibri"/>
          <w:sz w:val="20"/>
          <w:szCs w:val="20"/>
        </w:rPr>
        <w:t xml:space="preserve">Para os efectos da valoración de patrimonio, non se computarán na determinación do patrimonio nin o enxoval doméstico nin os bens </w:t>
      </w:r>
      <w:r>
        <w:rPr>
          <w:rStyle w:val="Fuentedeprrafopredeter1"/>
          <w:rFonts w:cs="Calibri"/>
          <w:sz w:val="20"/>
          <w:szCs w:val="20"/>
        </w:rPr>
        <w:t>e dereitos achegados a un patrimonio especialmente protexido dos regulados pola Lei 41/2003, do 18 de novembro, de protección patrimonial das persoas con discapacidade e con modificación da capacidade de obrar regulado no Código Civil, Lei de axuizamento c</w:t>
      </w:r>
      <w:r>
        <w:rPr>
          <w:rStyle w:val="Fuentedeprrafopredeter1"/>
          <w:rFonts w:cs="Calibri"/>
          <w:sz w:val="20"/>
          <w:szCs w:val="20"/>
        </w:rPr>
        <w:t>ivil e na normativa tributaria con esta finalidade, do que sexa titular a persoa usuaria, mentres persista tal afección. Non obstante, si se computarán na valoración da renda as derivadas de dito patrimonio, que non se integren nel.</w:t>
      </w:r>
    </w:p>
    <w:p w:rsidR="005E0010" w:rsidRDefault="004C24DC">
      <w:pPr>
        <w:tabs>
          <w:tab w:val="left" w:pos="0"/>
        </w:tabs>
        <w:spacing w:before="113" w:after="113" w:line="360" w:lineRule="auto"/>
        <w:ind w:left="-284"/>
        <w:jc w:val="both"/>
        <w:rPr>
          <w:sz w:val="20"/>
          <w:szCs w:val="20"/>
        </w:rPr>
      </w:pPr>
      <w:r>
        <w:rPr>
          <w:rStyle w:val="Fuentedeprrafopredeter1"/>
          <w:rFonts w:cs="Calibri"/>
          <w:sz w:val="20"/>
          <w:szCs w:val="20"/>
        </w:rPr>
        <w:t>En todo caso, computara</w:t>
      </w:r>
      <w:r>
        <w:rPr>
          <w:rStyle w:val="Fuentedeprrafopredeter1"/>
          <w:rFonts w:cs="Calibri"/>
          <w:sz w:val="20"/>
          <w:szCs w:val="20"/>
        </w:rPr>
        <w:t xml:space="preserve">nse as disposicións patrimoniais realizadas pola persoa usuaria nos catro anos anteriores á presentación da solicitude, tanto se son a título oneroso como gratuíto, a favor do cónxuxe, persoa con análoga relación de afectividade ao cónxuxe ou parentes ata </w:t>
      </w:r>
      <w:r>
        <w:rPr>
          <w:rStyle w:val="Fuentedeprrafopredeter1"/>
          <w:rFonts w:cs="Calibri"/>
          <w:sz w:val="20"/>
          <w:szCs w:val="20"/>
        </w:rPr>
        <w:t xml:space="preserve">o cuarto grao inclusive, </w:t>
      </w:r>
      <w:r>
        <w:rPr>
          <w:rFonts w:cs="Calibri"/>
          <w:sz w:val="20"/>
          <w:szCs w:val="20"/>
        </w:rPr>
        <w:t>nos termos e segundo as normas contidas na disposición adicional quinta da Lei 41/2007, do 7 de decembro, pola que se modifica a Lei 2/1981, do 25 de marzo, de regulación do mercado hipotecario e outras normas do sistema hipotecari</w:t>
      </w:r>
      <w:r>
        <w:rPr>
          <w:rFonts w:cs="Calibri"/>
          <w:sz w:val="20"/>
          <w:szCs w:val="20"/>
        </w:rPr>
        <w:t>o e financeiro, de regulación das hipotecas inversas e o seguro de dependencia e pola que se establece determinada norma tributaria.</w:t>
      </w:r>
    </w:p>
    <w:p w:rsidR="005E0010" w:rsidRDefault="004C24DC">
      <w:pPr>
        <w:tabs>
          <w:tab w:val="left" w:pos="855"/>
        </w:tabs>
        <w:spacing w:before="113" w:after="113" w:line="360" w:lineRule="auto"/>
        <w:ind w:left="-284"/>
        <w:jc w:val="both"/>
        <w:rPr>
          <w:sz w:val="20"/>
          <w:szCs w:val="20"/>
        </w:rPr>
      </w:pPr>
      <w:r>
        <w:rPr>
          <w:rStyle w:val="Fuentedeprrafopredeter1"/>
          <w:rFonts w:cs="Calibri"/>
          <w:bCs/>
          <w:sz w:val="20"/>
          <w:szCs w:val="20"/>
        </w:rPr>
        <w:t>4.3. Procedemento para a actualización ou modificación da capacidade económica os servizos na  modalidade ordinaria.</w:t>
      </w:r>
    </w:p>
    <w:p w:rsidR="005E0010" w:rsidRDefault="004C24DC">
      <w:pPr>
        <w:pStyle w:val="Prrafodelista"/>
        <w:numPr>
          <w:ilvl w:val="0"/>
          <w:numId w:val="5"/>
        </w:numPr>
        <w:suppressAutoHyphens/>
        <w:spacing w:before="113" w:after="113" w:line="360" w:lineRule="auto"/>
        <w:jc w:val="both"/>
        <w:rPr>
          <w:sz w:val="20"/>
          <w:szCs w:val="20"/>
        </w:rPr>
      </w:pPr>
      <w:r>
        <w:rPr>
          <w:rStyle w:val="Fuentedeprrafopredeter1"/>
          <w:rFonts w:cs="Calibri"/>
          <w:sz w:val="20"/>
          <w:szCs w:val="20"/>
        </w:rPr>
        <w:t>Como p</w:t>
      </w:r>
      <w:r>
        <w:rPr>
          <w:rStyle w:val="Fuentedeprrafopredeter1"/>
          <w:rFonts w:cs="Calibri"/>
          <w:sz w:val="20"/>
          <w:szCs w:val="20"/>
        </w:rPr>
        <w:t>razo máximo, no terceiro trimestre de cada ano, a persoa responsable do centro, procederá de oficio a revisar a capacidade económica de cada usuario/a, tomando en consideración os datos económicos subministrados pola Axencia Estatal de Administración Tribu</w:t>
      </w:r>
      <w:r>
        <w:rPr>
          <w:rStyle w:val="Fuentedeprrafopredeter1"/>
          <w:rFonts w:cs="Calibri"/>
          <w:sz w:val="20"/>
          <w:szCs w:val="20"/>
        </w:rPr>
        <w:t>taria e outros Organismos Públicos, relativa ó último exercicio dispoñible. Non obstante, cando a capacidade económica da persoa usuaria só proveña da percepción de pensións, prestacións públicas o período que se computará na súa determinación será o corre</w:t>
      </w:r>
      <w:r>
        <w:rPr>
          <w:rStyle w:val="Fuentedeprrafopredeter1"/>
          <w:rFonts w:cs="Calibri"/>
          <w:sz w:val="20"/>
          <w:szCs w:val="20"/>
        </w:rPr>
        <w:t>spondente ao ano en curso. En todo caso a nova participación, aplicarase a 1 de xullo do mesmo.</w:t>
      </w:r>
    </w:p>
    <w:p w:rsidR="005E0010" w:rsidRDefault="004C24DC">
      <w:pPr>
        <w:pStyle w:val="Prrafodelista"/>
        <w:numPr>
          <w:ilvl w:val="0"/>
          <w:numId w:val="5"/>
        </w:numPr>
        <w:suppressAutoHyphens/>
        <w:spacing w:before="113" w:after="113" w:line="360" w:lineRule="auto"/>
        <w:jc w:val="both"/>
        <w:rPr>
          <w:sz w:val="20"/>
          <w:szCs w:val="20"/>
        </w:rPr>
      </w:pPr>
      <w:r>
        <w:rPr>
          <w:rStyle w:val="Fuentedeprrafopredeter1"/>
          <w:rFonts w:cs="Calibri"/>
          <w:sz w:val="20"/>
          <w:szCs w:val="20"/>
        </w:rPr>
        <w:t>Independentemente do reflectido no apartado anterior, calquera alteración substancial da capacidade económica da persoa beneficiaria derivada da modificación da</w:t>
      </w:r>
      <w:r>
        <w:rPr>
          <w:rStyle w:val="Fuentedeprrafopredeter1"/>
          <w:rFonts w:cs="Calibri"/>
          <w:sz w:val="20"/>
          <w:szCs w:val="20"/>
        </w:rPr>
        <w:t xml:space="preserve">s prestacións periódicas que perciba, determinará unha revisión da mesma e da </w:t>
      </w:r>
      <w:proofErr w:type="spellStart"/>
      <w:r>
        <w:rPr>
          <w:rStyle w:val="Fuentedeprrafopredeter1"/>
          <w:rFonts w:cs="Calibri"/>
          <w:sz w:val="20"/>
          <w:szCs w:val="20"/>
        </w:rPr>
        <w:t>aportación</w:t>
      </w:r>
      <w:proofErr w:type="spellEnd"/>
      <w:r>
        <w:rPr>
          <w:rStyle w:val="Fuentedeprrafopredeter1"/>
          <w:rFonts w:cs="Calibri"/>
          <w:sz w:val="20"/>
          <w:szCs w:val="20"/>
        </w:rPr>
        <w:t xml:space="preserve"> para o pago dos servizos con efectos a partir do primeiro día do mes seguinte da revisión. A tal efecto, a persoa beneficiaria deberá comunicar ditos cambios a persoa </w:t>
      </w:r>
      <w:r>
        <w:rPr>
          <w:rStyle w:val="Fuentedeprrafopredeter1"/>
          <w:rFonts w:cs="Calibri"/>
          <w:sz w:val="20"/>
          <w:szCs w:val="20"/>
        </w:rPr>
        <w:t xml:space="preserve">responsable do centro, nun prazo máximo de 10 días a partir do momento no que se </w:t>
      </w:r>
      <w:r>
        <w:rPr>
          <w:rStyle w:val="Fuentedeprrafopredeter1"/>
          <w:rFonts w:cs="Calibri"/>
          <w:sz w:val="20"/>
          <w:szCs w:val="20"/>
        </w:rPr>
        <w:lastRenderedPageBreak/>
        <w:t>produzan. Procederase a establecer unha nova capacidade económica persoal estimada para o exercicio de referencia, para o que se tomará como ingresos por prestacións os que re</w:t>
      </w:r>
      <w:r>
        <w:rPr>
          <w:rStyle w:val="Fuentedeprrafopredeter1"/>
          <w:rFonts w:cs="Calibri"/>
          <w:sz w:val="20"/>
          <w:szCs w:val="20"/>
        </w:rPr>
        <w:t>cibise a persoa interesada tendo en conta as novas contías, aplicando as normas xerais vixentes sobre revalorización de prestacións. Dita contía sumarase as rendas individuais doutra natureza, acreditadas para dito exercicio, así como o valor patrimonial c</w:t>
      </w:r>
      <w:r>
        <w:rPr>
          <w:rStyle w:val="Fuentedeprrafopredeter1"/>
          <w:rFonts w:cs="Calibri"/>
          <w:sz w:val="20"/>
          <w:szCs w:val="20"/>
        </w:rPr>
        <w:t xml:space="preserve">omputable segundo os criterios establecidos con anterioridade. </w:t>
      </w:r>
    </w:p>
    <w:p w:rsidR="005E0010" w:rsidRDefault="004C24DC">
      <w:pPr>
        <w:pStyle w:val="Prrafodelista"/>
        <w:numPr>
          <w:ilvl w:val="0"/>
          <w:numId w:val="5"/>
        </w:numPr>
        <w:suppressAutoHyphens/>
        <w:spacing w:before="113" w:after="113" w:line="360" w:lineRule="auto"/>
        <w:jc w:val="both"/>
        <w:rPr>
          <w:sz w:val="20"/>
          <w:szCs w:val="20"/>
        </w:rPr>
      </w:pPr>
      <w:r>
        <w:rPr>
          <w:rFonts w:cs="Calibri"/>
          <w:sz w:val="20"/>
          <w:szCs w:val="20"/>
        </w:rPr>
        <w:t>Unha vez realizada a nova valoración da capacidade económica e da nova participa</w:t>
      </w:r>
      <w:r>
        <w:rPr>
          <w:rFonts w:cs="Calibri"/>
          <w:sz w:val="20"/>
          <w:szCs w:val="20"/>
        </w:rPr>
        <w:softHyphen/>
      </w:r>
      <w:r>
        <w:rPr>
          <w:rFonts w:cs="Calibri"/>
          <w:sz w:val="20"/>
          <w:szCs w:val="20"/>
        </w:rPr>
        <w:t xml:space="preserve">ción no custo do servizo, produto da súa modificación,  o órgano competente que ditou a resolución de acceso ao servizo, ditará resolución de revisión da nova capacidade económica e por ende da  participación no custo do servizo, producindo efectos, desde </w:t>
      </w:r>
      <w:r>
        <w:rPr>
          <w:rFonts w:cs="Calibri"/>
          <w:sz w:val="20"/>
          <w:szCs w:val="20"/>
        </w:rPr>
        <w:t xml:space="preserve">a súa notificación e dando lugar a un novo prezo público para a persoa usuaria. </w:t>
      </w:r>
    </w:p>
    <w:p w:rsidR="005E0010" w:rsidRDefault="004C24DC">
      <w:pPr>
        <w:pStyle w:val="Prrafodelista"/>
        <w:spacing w:before="113" w:after="113" w:line="360" w:lineRule="auto"/>
        <w:ind w:left="-284"/>
        <w:jc w:val="both"/>
        <w:rPr>
          <w:sz w:val="20"/>
          <w:szCs w:val="20"/>
        </w:rPr>
      </w:pPr>
      <w:r>
        <w:rPr>
          <w:rFonts w:eastAsia="Times New Roman" w:cs="Arial"/>
          <w:b/>
          <w:sz w:val="20"/>
          <w:szCs w:val="20"/>
          <w:lang w:eastAsia="es-ES"/>
        </w:rPr>
        <w:t xml:space="preserve">Artigo 5. </w:t>
      </w:r>
      <w:r>
        <w:rPr>
          <w:rFonts w:cs="Arial"/>
          <w:b/>
          <w:bCs/>
          <w:sz w:val="20"/>
          <w:szCs w:val="20"/>
        </w:rPr>
        <w:t>Mínimos vitais</w:t>
      </w:r>
    </w:p>
    <w:p w:rsidR="005E0010" w:rsidRDefault="004C24DC">
      <w:pPr>
        <w:tabs>
          <w:tab w:val="left" w:pos="284"/>
        </w:tabs>
        <w:spacing w:before="113" w:after="113" w:line="360" w:lineRule="auto"/>
        <w:ind w:left="-284"/>
        <w:jc w:val="both"/>
        <w:rPr>
          <w:sz w:val="20"/>
          <w:szCs w:val="20"/>
        </w:rPr>
      </w:pPr>
      <w:r>
        <w:rPr>
          <w:rStyle w:val="Fuentedeprrafopredeter1"/>
          <w:rFonts w:cs="Calibri"/>
          <w:sz w:val="20"/>
          <w:szCs w:val="20"/>
        </w:rPr>
        <w:t>Con independencia do importe a aboar polo custo dos servizos básicos na modalidade ordinaria, derivada da capacidade económica da persoa usuaria, gara</w:t>
      </w:r>
      <w:r>
        <w:rPr>
          <w:rStyle w:val="Fuentedeprrafopredeter1"/>
          <w:rFonts w:cs="Calibri"/>
          <w:sz w:val="20"/>
          <w:szCs w:val="20"/>
        </w:rPr>
        <w:t xml:space="preserve">ntirase unha contía mínima para gastos persoais que quedarán integramente á disposición do seu perceptor/a calculada en función dos seus ingresos e determinada segundo as seguintes consideracións: </w:t>
      </w:r>
    </w:p>
    <w:p w:rsidR="005E0010" w:rsidRDefault="004C24DC">
      <w:pPr>
        <w:numPr>
          <w:ilvl w:val="6"/>
          <w:numId w:val="3"/>
        </w:numPr>
        <w:tabs>
          <w:tab w:val="left" w:pos="567"/>
        </w:tabs>
        <w:suppressAutoHyphens/>
        <w:spacing w:before="113" w:after="113" w:line="360" w:lineRule="auto"/>
        <w:jc w:val="both"/>
        <w:rPr>
          <w:rFonts w:cs="Calibri"/>
          <w:sz w:val="20"/>
          <w:szCs w:val="20"/>
          <w:lang w:val="es-ES"/>
        </w:rPr>
      </w:pPr>
      <w:r>
        <w:rPr>
          <w:rStyle w:val="Fuentedeprrafopredeter1"/>
          <w:rFonts w:cs="Calibri"/>
          <w:sz w:val="20"/>
          <w:szCs w:val="20"/>
        </w:rPr>
        <w:t xml:space="preserve">Mínimo Vital de Ingresos, </w:t>
      </w:r>
      <w:proofErr w:type="spellStart"/>
      <w:r>
        <w:rPr>
          <w:rStyle w:val="Fuentedeprrafopredeter1"/>
          <w:rFonts w:cs="Calibri"/>
          <w:sz w:val="20"/>
          <w:szCs w:val="20"/>
        </w:rPr>
        <w:t>Mvi</w:t>
      </w:r>
      <w:proofErr w:type="spellEnd"/>
      <w:r>
        <w:rPr>
          <w:rStyle w:val="Fuentedeprrafopredeter1"/>
          <w:rFonts w:cs="Calibri"/>
          <w:sz w:val="20"/>
          <w:szCs w:val="20"/>
        </w:rPr>
        <w:t xml:space="preserve"> : </w:t>
      </w:r>
      <w:r>
        <w:rPr>
          <w:rFonts w:cs="Calibri"/>
          <w:sz w:val="20"/>
          <w:szCs w:val="20"/>
        </w:rPr>
        <w:t xml:space="preserve">calcularase en función da </w:t>
      </w:r>
      <w:r>
        <w:rPr>
          <w:rFonts w:cs="Calibri"/>
          <w:sz w:val="20"/>
          <w:szCs w:val="20"/>
        </w:rPr>
        <w:t>doceava parte dos ingresos anuais derivados da principal pensión ou prestación periódica (</w:t>
      </w:r>
      <w:proofErr w:type="spellStart"/>
      <w:r>
        <w:rPr>
          <w:rFonts w:cs="Calibri"/>
          <w:b/>
          <w:bCs/>
          <w:sz w:val="20"/>
          <w:szCs w:val="20"/>
        </w:rPr>
        <w:t>Pp</w:t>
      </w:r>
      <w:r>
        <w:rPr>
          <w:rFonts w:cs="Calibri"/>
          <w:b/>
          <w:bCs/>
          <w:sz w:val="20"/>
          <w:szCs w:val="20"/>
          <w:vertAlign w:val="subscript"/>
        </w:rPr>
        <w:t>a</w:t>
      </w:r>
      <w:proofErr w:type="spellEnd"/>
      <w:r>
        <w:rPr>
          <w:rFonts w:cs="Calibri"/>
          <w:sz w:val="20"/>
          <w:szCs w:val="20"/>
        </w:rPr>
        <w:t>), multiplicado polo coeficiente que lle corresponda segundo a “</w:t>
      </w:r>
      <w:r>
        <w:rPr>
          <w:rFonts w:cs="Calibri"/>
          <w:i/>
          <w:iCs/>
          <w:sz w:val="20"/>
          <w:szCs w:val="20"/>
        </w:rPr>
        <w:t>Táboa Mínimos Vitais Progresivos Residencia</w:t>
      </w:r>
      <w:r>
        <w:rPr>
          <w:rFonts w:cs="Calibri"/>
          <w:sz w:val="20"/>
          <w:szCs w:val="20"/>
        </w:rPr>
        <w:t xml:space="preserve">”. Terase en conta que a prestación principal mensual, </w:t>
      </w:r>
      <w:proofErr w:type="spellStart"/>
      <w:r>
        <w:rPr>
          <w:rFonts w:cs="Calibri"/>
          <w:b/>
          <w:bCs/>
          <w:sz w:val="20"/>
          <w:szCs w:val="20"/>
        </w:rPr>
        <w:t>P</w:t>
      </w:r>
      <w:r>
        <w:rPr>
          <w:rFonts w:cs="Calibri"/>
          <w:b/>
          <w:bCs/>
          <w:sz w:val="20"/>
          <w:szCs w:val="20"/>
        </w:rPr>
        <w:t>p</w:t>
      </w:r>
      <w:r>
        <w:rPr>
          <w:rFonts w:cs="Calibri"/>
          <w:b/>
          <w:bCs/>
          <w:sz w:val="20"/>
          <w:szCs w:val="20"/>
          <w:vertAlign w:val="subscript"/>
        </w:rPr>
        <w:t>m</w:t>
      </w:r>
      <w:proofErr w:type="spellEnd"/>
      <w:r>
        <w:rPr>
          <w:rFonts w:cs="Calibri"/>
          <w:sz w:val="20"/>
          <w:szCs w:val="20"/>
        </w:rPr>
        <w:t xml:space="preserve"> será o importe da pensión ou prestación principal en computo anual dividido entre 12. </w:t>
      </w:r>
    </w:p>
    <w:p w:rsidR="005E0010" w:rsidRDefault="004C24DC">
      <w:pPr>
        <w:tabs>
          <w:tab w:val="left" w:pos="567"/>
        </w:tabs>
        <w:suppressAutoHyphens/>
        <w:spacing w:before="113" w:after="113" w:line="360" w:lineRule="auto"/>
        <w:ind w:left="588"/>
        <w:jc w:val="center"/>
        <w:rPr>
          <w:rFonts w:cs="Calibri"/>
          <w:sz w:val="20"/>
          <w:szCs w:val="20"/>
          <w:lang w:val="es-ES"/>
        </w:rPr>
      </w:pPr>
      <w:proofErr w:type="spellStart"/>
      <w:r>
        <w:rPr>
          <w:rFonts w:cs="Calibri"/>
          <w:b/>
          <w:bCs/>
          <w:sz w:val="20"/>
          <w:szCs w:val="20"/>
        </w:rPr>
        <w:t>Pp</w:t>
      </w:r>
      <w:r>
        <w:rPr>
          <w:rFonts w:cs="Calibri"/>
          <w:b/>
          <w:bCs/>
          <w:sz w:val="20"/>
          <w:szCs w:val="20"/>
          <w:vertAlign w:val="subscript"/>
        </w:rPr>
        <w:t>m</w:t>
      </w:r>
      <w:proofErr w:type="spellEnd"/>
      <w:r>
        <w:rPr>
          <w:rFonts w:cs="Calibri"/>
          <w:b/>
          <w:bCs/>
          <w:sz w:val="20"/>
          <w:szCs w:val="20"/>
        </w:rPr>
        <w:t xml:space="preserve"> = </w:t>
      </w:r>
      <w:proofErr w:type="spellStart"/>
      <w:r>
        <w:rPr>
          <w:rFonts w:cs="Calibri"/>
          <w:b/>
          <w:bCs/>
          <w:sz w:val="20"/>
          <w:szCs w:val="20"/>
        </w:rPr>
        <w:t>Pp</w:t>
      </w:r>
      <w:r>
        <w:rPr>
          <w:rFonts w:cs="Calibri"/>
          <w:b/>
          <w:bCs/>
          <w:sz w:val="20"/>
          <w:szCs w:val="20"/>
          <w:vertAlign w:val="subscript"/>
        </w:rPr>
        <w:t>a</w:t>
      </w:r>
      <w:proofErr w:type="spellEnd"/>
      <w:r>
        <w:rPr>
          <w:rFonts w:cs="Calibri"/>
          <w:b/>
          <w:bCs/>
          <w:sz w:val="20"/>
          <w:szCs w:val="20"/>
        </w:rPr>
        <w:t xml:space="preserve"> / 12.</w:t>
      </w:r>
    </w:p>
    <w:p w:rsidR="005E0010" w:rsidRDefault="004C24DC">
      <w:pPr>
        <w:tabs>
          <w:tab w:val="left" w:pos="567"/>
        </w:tabs>
        <w:suppressAutoHyphens/>
        <w:spacing w:before="113" w:after="113" w:line="360" w:lineRule="auto"/>
        <w:ind w:left="588"/>
        <w:jc w:val="center"/>
        <w:rPr>
          <w:rFonts w:cs="Calibri"/>
          <w:sz w:val="20"/>
          <w:szCs w:val="20"/>
          <w:lang w:val="es-ES"/>
        </w:rPr>
      </w:pPr>
      <w:proofErr w:type="spellStart"/>
      <w:r>
        <w:rPr>
          <w:rFonts w:cs="Calibri"/>
          <w:b/>
          <w:bCs/>
          <w:sz w:val="20"/>
          <w:szCs w:val="20"/>
        </w:rPr>
        <w:t>Mv</w:t>
      </w:r>
      <w:r>
        <w:rPr>
          <w:rFonts w:cs="Calibri"/>
          <w:b/>
          <w:bCs/>
          <w:sz w:val="20"/>
          <w:szCs w:val="20"/>
          <w:vertAlign w:val="subscript"/>
        </w:rPr>
        <w:t>i</w:t>
      </w:r>
      <w:proofErr w:type="spellEnd"/>
      <w:r>
        <w:rPr>
          <w:rFonts w:cs="Calibri"/>
          <w:b/>
          <w:bCs/>
          <w:sz w:val="20"/>
          <w:szCs w:val="20"/>
        </w:rPr>
        <w:t xml:space="preserve">= ( </w:t>
      </w:r>
      <w:proofErr w:type="spellStart"/>
      <w:r>
        <w:rPr>
          <w:rFonts w:cs="Calibri"/>
          <w:b/>
          <w:bCs/>
          <w:sz w:val="20"/>
          <w:szCs w:val="20"/>
        </w:rPr>
        <w:t>Pp</w:t>
      </w:r>
      <w:r>
        <w:rPr>
          <w:rFonts w:cs="Calibri"/>
          <w:b/>
          <w:bCs/>
          <w:sz w:val="20"/>
          <w:szCs w:val="20"/>
          <w:vertAlign w:val="subscript"/>
        </w:rPr>
        <w:t>m</w:t>
      </w:r>
      <w:proofErr w:type="spellEnd"/>
      <w:r>
        <w:rPr>
          <w:rFonts w:cs="Calibri"/>
          <w:b/>
          <w:bCs/>
          <w:sz w:val="20"/>
          <w:szCs w:val="20"/>
        </w:rPr>
        <w:t xml:space="preserve"> x coeficiente progresivo mínimo vital)</w:t>
      </w:r>
    </w:p>
    <w:p w:rsidR="005E0010" w:rsidRDefault="004C24DC">
      <w:pPr>
        <w:tabs>
          <w:tab w:val="left" w:pos="567"/>
        </w:tabs>
        <w:suppressAutoHyphens/>
        <w:spacing w:before="113" w:after="113" w:line="360" w:lineRule="auto"/>
        <w:ind w:left="588"/>
        <w:jc w:val="both"/>
        <w:rPr>
          <w:sz w:val="20"/>
          <w:szCs w:val="20"/>
        </w:rPr>
      </w:pPr>
      <w:r>
        <w:rPr>
          <w:noProof/>
          <w:lang w:val="es-ES" w:eastAsia="es-ES"/>
        </w:rPr>
        <w:lastRenderedPageBreak/>
        <mc:AlternateContent>
          <mc:Choice Requires="wps">
            <w:drawing>
              <wp:anchor distT="0" distB="0" distL="89535" distR="89535" simplePos="0" relativeHeight="3" behindDoc="0" locked="0" layoutInCell="1" allowOverlap="1">
                <wp:simplePos x="0" y="0"/>
                <wp:positionH relativeFrom="column">
                  <wp:posOffset>1295400</wp:posOffset>
                </wp:positionH>
                <wp:positionV relativeFrom="paragraph">
                  <wp:posOffset>138430</wp:posOffset>
                </wp:positionV>
                <wp:extent cx="3122930" cy="5768975"/>
                <wp:effectExtent l="0" t="0" r="0" b="0"/>
                <wp:wrapTopAndBottom/>
                <wp:docPr id="2" name="Marco2"/>
                <wp:cNvGraphicFramePr/>
                <a:graphic xmlns:a="http://schemas.openxmlformats.org/drawingml/2006/main">
                  <a:graphicData uri="http://schemas.microsoft.com/office/word/2010/wordprocessingShape">
                    <wps:wsp>
                      <wps:cNvSpPr txBox="1"/>
                      <wps:spPr>
                        <a:xfrm>
                          <a:off x="0" y="0"/>
                          <a:ext cx="3122930" cy="5768975"/>
                        </a:xfrm>
                        <a:prstGeom prst="rect">
                          <a:avLst/>
                        </a:prstGeom>
                      </wps:spPr>
                      <wps:txbx>
                        <w:txbxContent>
                          <w:tbl>
                            <w:tblPr>
                              <w:tblW w:w="49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firstRow="1" w:lastRow="0" w:firstColumn="1" w:lastColumn="0" w:noHBand="0" w:noVBand="1"/>
                            </w:tblPr>
                            <w:tblGrid>
                              <w:gridCol w:w="2244"/>
                              <w:gridCol w:w="2674"/>
                            </w:tblGrid>
                            <w:tr w:rsidR="005E0010">
                              <w:trPr>
                                <w:trHeight w:val="585"/>
                                <w:jc w:val="center"/>
                              </w:trPr>
                              <w:tc>
                                <w:tcPr>
                                  <w:tcW w:w="4917" w:type="dxa"/>
                                  <w:gridSpan w:val="2"/>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TÁBOA MÍNIMOS VITAIS PROGRESIVA RESIDENCIA</w:t>
                                  </w:r>
                                </w:p>
                              </w:tc>
                            </w:tr>
                            <w:tr w:rsidR="005E0010">
                              <w:trPr>
                                <w:trHeight w:val="57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ATA INGRESOS LÍQUIDOS mensuais</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 xml:space="preserve">COEFICIENTE PROGRESIVO MÍNIMO VITAL </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431,55 €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0,250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500,00 €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0,240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600,00 €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0,220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700,00 €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0,190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800,00 €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0,170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900,00 €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0,160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1.000,00 €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0,150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1.100,00 €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0,150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1.200,00 €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0,150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1.300,00 €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0,150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1.400,00 €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0,140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1.500,00 €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0,140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1.600,00 €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0,140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1.700,00 €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0,140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1.800,00 €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0,135</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1.900,00 €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0,135</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2.000,00 €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0,135</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2.100,00 €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0,135</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2.200,00 €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0,130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2.300,00 €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0,130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2.400,00 €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0,130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bookmarkStart w:id="1" w:name="__UnoMark__2882_1119847107"/>
                                  <w:bookmarkEnd w:id="1"/>
                                  <w:r>
                                    <w:rPr>
                                      <w:rFonts w:eastAsia="Times New Roman"/>
                                      <w:color w:val="000000"/>
                                      <w:sz w:val="15"/>
                                      <w:szCs w:val="15"/>
                                    </w:rPr>
                                    <w:t xml:space="preserve">≥ </w:t>
                                  </w:r>
                                  <w:bookmarkStart w:id="2" w:name="__UnoMark__2883_1119847107"/>
                                  <w:bookmarkEnd w:id="2"/>
                                  <w:r>
                                    <w:rPr>
                                      <w:rFonts w:eastAsia="Times New Roman"/>
                                      <w:color w:val="000000"/>
                                      <w:sz w:val="15"/>
                                      <w:szCs w:val="15"/>
                                    </w:rPr>
                                    <w:t xml:space="preserve">2.500,00 €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bookmarkStart w:id="3" w:name="__UnoMark__2884_1119847107"/>
                                  <w:bookmarkEnd w:id="3"/>
                                  <w:r>
                                    <w:rPr>
                                      <w:rFonts w:eastAsia="Times New Roman"/>
                                      <w:color w:val="000000"/>
                                      <w:sz w:val="15"/>
                                      <w:szCs w:val="15"/>
                                    </w:rPr>
                                    <w:t>0,130</w:t>
                                  </w:r>
                                </w:p>
                              </w:tc>
                            </w:tr>
                          </w:tbl>
                          <w:p w:rsidR="00000000" w:rsidRDefault="004C24DC"/>
                        </w:txbxContent>
                      </wps:txbx>
                      <wps:bodyPr lIns="0" tIns="0" rIns="0" bIns="0" anchor="t">
                        <a:spAutoFit/>
                      </wps:bodyPr>
                    </wps:wsp>
                  </a:graphicData>
                </a:graphic>
              </wp:anchor>
            </w:drawing>
          </mc:Choice>
          <mc:Fallback>
            <w:pict>
              <v:shape id="Marco2" o:spid="_x0000_s1027" type="#_x0000_t202" style="position:absolute;left:0;text-align:left;margin-left:102pt;margin-top:10.9pt;width:245.9pt;height:454.25pt;z-index:3;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" filled="f" stroked="f">
                <v:textbox style="mso-fit-shape-to-text:t" inset="0,0,0,0">
                  <w:txbxContent>
                    <w:tbl>
                      <w:tblPr>
                        <w:tblW w:w="49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firstRow="1" w:lastRow="0" w:firstColumn="1" w:lastColumn="0" w:noHBand="0" w:noVBand="1"/>
                      </w:tblPr>
                      <w:tblGrid>
                        <w:gridCol w:w="2244"/>
                        <w:gridCol w:w="2674"/>
                      </w:tblGrid>
                      <w:tr w:rsidR="005E0010">
                        <w:trPr>
                          <w:trHeight w:val="585"/>
                          <w:jc w:val="center"/>
                        </w:trPr>
                        <w:tc>
                          <w:tcPr>
                            <w:tcW w:w="4917" w:type="dxa"/>
                            <w:gridSpan w:val="2"/>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TÁBOA MÍNIMOS VITAIS PROGRESIVA RESIDENCIA</w:t>
                            </w:r>
                          </w:p>
                        </w:tc>
                      </w:tr>
                      <w:tr w:rsidR="005E0010">
                        <w:trPr>
                          <w:trHeight w:val="57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ATA INGRESOS LÍQUIDOS mensuais</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jc w:val="center"/>
                            </w:pPr>
                            <w:r>
                              <w:rPr>
                                <w:rFonts w:eastAsia="Times New Roman"/>
                                <w:b/>
                                <w:bCs/>
                                <w:color w:val="000000"/>
                                <w:sz w:val="15"/>
                                <w:szCs w:val="15"/>
                              </w:rPr>
                              <w:t xml:space="preserve">COEFICIENTE PROGRESIVO MÍNIMO VITAL </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431,55 €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0,250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500,00 €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0,240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600,00 €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0,220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700,00 €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0,190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800,00 €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0,170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900,00 €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0,160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1.000,00 €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0,150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1.100,00 €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0,150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1.200,00 €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0,150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1.300,00 €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0,150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1.400,00 €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0,140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1.500,00 €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0,140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1.600,00 €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0,140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1.700,00 €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0,140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1.800,00 €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0,135</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1.900,00 €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0,135</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2.000,00 €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0,135</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2.100,00 €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0,135</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2.200,00 €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0,130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2.300,00 €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r>
                              <w:rPr>
                                <w:rFonts w:eastAsia="Times New Roman"/>
                                <w:color w:val="000000"/>
                                <w:sz w:val="15"/>
                                <w:szCs w:val="15"/>
                              </w:rPr>
                              <w:t>0,130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2.400,00 €</w:t>
                            </w:r>
                          </w:p>
                        </w:tc>
                        <w:tc>
                          <w:tcPr>
                            <w:tcW w:w="2673" w:type="dxa"/>
                            <w:tcBorders>
                              <w:top w:val="single" w:sz="4" w:space="0" w:color="00000A"/>
                              <w:left w:val="single" w:sz="4" w:space="0" w:color="00000A"/>
                              <w:bottom w:val="single" w:sz="4" w:space="0" w:color="00000A"/>
                              <w:right w:val="single" w:sz="4" w:space="0" w:color="00000A"/>
                            </w:tcBorders>
                            <w:shd w:val="clear" w:color="auto" w:fill="DFF6DF"/>
                            <w:tcMar>
                              <w:left w:w="10" w:type="dxa"/>
                            </w:tcMar>
                            <w:vAlign w:val="center"/>
                          </w:tcPr>
                          <w:p w:rsidR="005E0010" w:rsidRDefault="004C24DC">
                            <w:pPr>
                              <w:spacing w:after="0"/>
                              <w:jc w:val="center"/>
                            </w:pPr>
                            <w:r>
                              <w:rPr>
                                <w:rFonts w:eastAsia="Times New Roman"/>
                                <w:color w:val="000000"/>
                                <w:sz w:val="15"/>
                                <w:szCs w:val="15"/>
                              </w:rPr>
                              <w:t>0,130</w:t>
                            </w:r>
                          </w:p>
                        </w:tc>
                      </w:tr>
                      <w:tr w:rsidR="005E0010">
                        <w:trPr>
                          <w:trHeight w:val="360"/>
                          <w:jc w:val="center"/>
                        </w:trPr>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bookmarkStart w:id="4" w:name="__UnoMark__2882_1119847107"/>
                            <w:bookmarkEnd w:id="4"/>
                            <w:r>
                              <w:rPr>
                                <w:rFonts w:eastAsia="Times New Roman"/>
                                <w:color w:val="000000"/>
                                <w:sz w:val="15"/>
                                <w:szCs w:val="15"/>
                              </w:rPr>
                              <w:t xml:space="preserve">≥ </w:t>
                            </w:r>
                            <w:bookmarkStart w:id="5" w:name="__UnoMark__2883_1119847107"/>
                            <w:bookmarkEnd w:id="5"/>
                            <w:r>
                              <w:rPr>
                                <w:rFonts w:eastAsia="Times New Roman"/>
                                <w:color w:val="000000"/>
                                <w:sz w:val="15"/>
                                <w:szCs w:val="15"/>
                              </w:rPr>
                              <w:t xml:space="preserve">2.500,00 € </w:t>
                            </w:r>
                          </w:p>
                        </w:tc>
                        <w:tc>
                          <w:tcPr>
                            <w:tcW w:w="2673"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5E0010" w:rsidRDefault="004C24DC">
                            <w:pPr>
                              <w:spacing w:after="0"/>
                              <w:jc w:val="center"/>
                            </w:pPr>
                            <w:bookmarkStart w:id="6" w:name="__UnoMark__2884_1119847107"/>
                            <w:bookmarkEnd w:id="6"/>
                            <w:r>
                              <w:rPr>
                                <w:rFonts w:eastAsia="Times New Roman"/>
                                <w:color w:val="000000"/>
                                <w:sz w:val="15"/>
                                <w:szCs w:val="15"/>
                              </w:rPr>
                              <w:t>0,130</w:t>
                            </w:r>
                          </w:p>
                        </w:tc>
                      </w:tr>
                    </w:tbl>
                    <w:p w:rsidR="00000000" w:rsidRDefault="004C24DC"/>
                  </w:txbxContent>
                </v:textbox>
                <w10:wrap type="topAndBottom"/>
              </v:shape>
            </w:pict>
          </mc:Fallback>
        </mc:AlternateContent>
      </w:r>
    </w:p>
    <w:p w:rsidR="005E0010" w:rsidRDefault="005E0010">
      <w:pPr>
        <w:tabs>
          <w:tab w:val="left" w:pos="567"/>
        </w:tabs>
        <w:suppressAutoHyphens/>
        <w:spacing w:before="113" w:after="113" w:line="360" w:lineRule="auto"/>
        <w:ind w:left="588"/>
        <w:jc w:val="both"/>
        <w:rPr>
          <w:sz w:val="20"/>
          <w:szCs w:val="20"/>
        </w:rPr>
      </w:pPr>
    </w:p>
    <w:p w:rsidR="005E0010" w:rsidRDefault="005E0010">
      <w:pPr>
        <w:tabs>
          <w:tab w:val="left" w:pos="567"/>
        </w:tabs>
        <w:suppressAutoHyphens/>
        <w:spacing w:before="113" w:after="113" w:line="360" w:lineRule="auto"/>
        <w:ind w:left="588"/>
        <w:jc w:val="both"/>
        <w:rPr>
          <w:sz w:val="20"/>
          <w:szCs w:val="20"/>
        </w:rPr>
      </w:pPr>
    </w:p>
    <w:p w:rsidR="005E0010" w:rsidRDefault="005E0010">
      <w:pPr>
        <w:tabs>
          <w:tab w:val="left" w:pos="567"/>
        </w:tabs>
        <w:suppressAutoHyphens/>
        <w:spacing w:before="113" w:after="113" w:line="360" w:lineRule="auto"/>
        <w:ind w:left="588"/>
        <w:jc w:val="both"/>
        <w:rPr>
          <w:sz w:val="20"/>
          <w:szCs w:val="20"/>
        </w:rPr>
      </w:pPr>
    </w:p>
    <w:p w:rsidR="005E0010" w:rsidRDefault="005E0010">
      <w:pPr>
        <w:tabs>
          <w:tab w:val="left" w:pos="567"/>
        </w:tabs>
        <w:suppressAutoHyphens/>
        <w:spacing w:before="113" w:after="113" w:line="360" w:lineRule="auto"/>
        <w:ind w:left="588"/>
        <w:jc w:val="both"/>
        <w:rPr>
          <w:sz w:val="20"/>
          <w:szCs w:val="20"/>
        </w:rPr>
      </w:pPr>
    </w:p>
    <w:p w:rsidR="005E0010" w:rsidRDefault="005E0010">
      <w:pPr>
        <w:tabs>
          <w:tab w:val="left" w:pos="567"/>
        </w:tabs>
        <w:suppressAutoHyphens/>
        <w:spacing w:before="113" w:after="113" w:line="360" w:lineRule="auto"/>
        <w:ind w:left="588"/>
        <w:jc w:val="both"/>
        <w:rPr>
          <w:sz w:val="20"/>
          <w:szCs w:val="20"/>
        </w:rPr>
      </w:pPr>
    </w:p>
    <w:p w:rsidR="005E0010" w:rsidRDefault="005E0010">
      <w:pPr>
        <w:tabs>
          <w:tab w:val="left" w:pos="567"/>
        </w:tabs>
        <w:suppressAutoHyphens/>
        <w:spacing w:before="113" w:after="113" w:line="360" w:lineRule="auto"/>
        <w:ind w:left="588"/>
        <w:jc w:val="both"/>
        <w:rPr>
          <w:sz w:val="20"/>
          <w:szCs w:val="20"/>
        </w:rPr>
      </w:pPr>
    </w:p>
    <w:p w:rsidR="005E0010" w:rsidRDefault="005E0010">
      <w:pPr>
        <w:tabs>
          <w:tab w:val="left" w:pos="567"/>
        </w:tabs>
        <w:suppressAutoHyphens/>
        <w:spacing w:before="113" w:after="113" w:line="360" w:lineRule="auto"/>
        <w:ind w:left="588"/>
        <w:jc w:val="both"/>
        <w:rPr>
          <w:sz w:val="20"/>
          <w:szCs w:val="20"/>
        </w:rPr>
      </w:pPr>
    </w:p>
    <w:p w:rsidR="005E0010" w:rsidRDefault="005E0010">
      <w:pPr>
        <w:tabs>
          <w:tab w:val="left" w:pos="567"/>
        </w:tabs>
        <w:suppressAutoHyphens/>
        <w:spacing w:before="113" w:after="113" w:line="360" w:lineRule="auto"/>
        <w:ind w:left="588"/>
        <w:jc w:val="both"/>
        <w:rPr>
          <w:sz w:val="20"/>
          <w:szCs w:val="20"/>
        </w:rPr>
      </w:pPr>
    </w:p>
    <w:p w:rsidR="005E0010" w:rsidRDefault="005E0010">
      <w:pPr>
        <w:tabs>
          <w:tab w:val="left" w:pos="567"/>
        </w:tabs>
        <w:suppressAutoHyphens/>
        <w:spacing w:before="113" w:after="113" w:line="360" w:lineRule="auto"/>
        <w:jc w:val="both"/>
        <w:rPr>
          <w:sz w:val="20"/>
          <w:szCs w:val="20"/>
        </w:rPr>
      </w:pPr>
    </w:p>
    <w:p w:rsidR="005E0010" w:rsidRDefault="005E0010">
      <w:pPr>
        <w:tabs>
          <w:tab w:val="left" w:pos="567"/>
        </w:tabs>
        <w:suppressAutoHyphens/>
        <w:spacing w:before="113" w:after="113" w:line="360" w:lineRule="auto"/>
        <w:ind w:left="588"/>
        <w:jc w:val="both"/>
        <w:rPr>
          <w:sz w:val="20"/>
          <w:szCs w:val="20"/>
        </w:rPr>
      </w:pPr>
    </w:p>
    <w:p w:rsidR="005E0010" w:rsidRDefault="004C24DC">
      <w:pPr>
        <w:pStyle w:val="western"/>
        <w:spacing w:before="57" w:beforeAutospacing="0" w:after="113" w:line="360" w:lineRule="auto"/>
        <w:jc w:val="both"/>
      </w:pPr>
      <w:r>
        <w:rPr>
          <w:rFonts w:ascii="Calibri" w:hAnsi="Calibri"/>
          <w:color w:val="00000A"/>
          <w:sz w:val="20"/>
          <w:szCs w:val="20"/>
          <w:lang w:val="gl-ES"/>
        </w:rPr>
        <w:t xml:space="preserve">2. O mínimo vital de Ingresos </w:t>
      </w:r>
      <w:proofErr w:type="spellStart"/>
      <w:r>
        <w:rPr>
          <w:rFonts w:ascii="Calibri" w:hAnsi="Calibri"/>
          <w:color w:val="00000A"/>
          <w:sz w:val="20"/>
          <w:szCs w:val="20"/>
          <w:lang w:val="gl-ES"/>
        </w:rPr>
        <w:t>Mv</w:t>
      </w:r>
      <w:r>
        <w:rPr>
          <w:rFonts w:ascii="Calibri" w:hAnsi="Calibri"/>
          <w:color w:val="00000A"/>
          <w:sz w:val="20"/>
          <w:szCs w:val="20"/>
          <w:vertAlign w:val="subscript"/>
          <w:lang w:val="gl-ES"/>
        </w:rPr>
        <w:t>i</w:t>
      </w:r>
      <w:proofErr w:type="spellEnd"/>
      <w:r>
        <w:rPr>
          <w:rFonts w:ascii="Calibri" w:hAnsi="Calibri"/>
          <w:color w:val="00000A"/>
          <w:sz w:val="20"/>
          <w:szCs w:val="20"/>
          <w:vertAlign w:val="subscript"/>
          <w:lang w:val="gl-ES"/>
        </w:rPr>
        <w:t>,</w:t>
      </w:r>
      <w:r>
        <w:rPr>
          <w:rFonts w:ascii="Calibri" w:hAnsi="Calibri"/>
          <w:color w:val="00000A"/>
          <w:sz w:val="20"/>
          <w:szCs w:val="20"/>
          <w:lang w:val="gl-ES"/>
        </w:rPr>
        <w:t xml:space="preserve"> minorarase pola Capacidade Patrimonial Mensual (</w:t>
      </w:r>
      <w:proofErr w:type="spellStart"/>
      <w:r>
        <w:rPr>
          <w:rFonts w:ascii="Calibri" w:hAnsi="Calibri"/>
          <w:color w:val="00000A"/>
          <w:sz w:val="20"/>
          <w:szCs w:val="20"/>
          <w:lang w:val="gl-ES"/>
        </w:rPr>
        <w:t>Cp</w:t>
      </w:r>
      <w:r>
        <w:rPr>
          <w:rFonts w:ascii="Calibri" w:hAnsi="Calibri"/>
          <w:color w:val="00000A"/>
          <w:sz w:val="20"/>
          <w:szCs w:val="20"/>
          <w:vertAlign w:val="subscript"/>
          <w:lang w:val="gl-ES"/>
        </w:rPr>
        <w:t>m</w:t>
      </w:r>
      <w:proofErr w:type="spellEnd"/>
      <w:r>
        <w:rPr>
          <w:rFonts w:ascii="Calibri" w:hAnsi="Calibri"/>
          <w:color w:val="00000A"/>
          <w:sz w:val="20"/>
          <w:szCs w:val="20"/>
          <w:lang w:val="gl-ES"/>
        </w:rPr>
        <w:t xml:space="preserve">), dando lugar ao Mínimo vital de capacidade patrimonial </w:t>
      </w:r>
      <w:proofErr w:type="spellStart"/>
      <w:r>
        <w:rPr>
          <w:rFonts w:ascii="Calibri" w:hAnsi="Calibri"/>
          <w:b/>
          <w:bCs/>
          <w:color w:val="00000A"/>
          <w:sz w:val="20"/>
          <w:szCs w:val="20"/>
          <w:lang w:val="gl-ES"/>
        </w:rPr>
        <w:t>Mv</w:t>
      </w:r>
      <w:r>
        <w:rPr>
          <w:rFonts w:ascii="Calibri" w:hAnsi="Calibri"/>
          <w:b/>
          <w:bCs/>
          <w:color w:val="00000A"/>
          <w:sz w:val="20"/>
          <w:szCs w:val="20"/>
          <w:vertAlign w:val="subscript"/>
          <w:lang w:val="gl-ES"/>
        </w:rPr>
        <w:t>cp</w:t>
      </w:r>
      <w:proofErr w:type="spellEnd"/>
      <w:r>
        <w:rPr>
          <w:rFonts w:ascii="Calibri" w:hAnsi="Calibri"/>
          <w:color w:val="00000A"/>
          <w:sz w:val="20"/>
          <w:szCs w:val="20"/>
          <w:lang w:val="gl-ES"/>
        </w:rPr>
        <w:t>. A capacidade patrimonial mensual, será o resultado de multiplicar o patrimonio (P) a imputar polo coeficiente que lle corresponda na “Táboa d</w:t>
      </w:r>
      <w:r>
        <w:rPr>
          <w:rFonts w:ascii="Calibri" w:hAnsi="Calibri"/>
          <w:color w:val="00000A"/>
          <w:sz w:val="20"/>
          <w:szCs w:val="20"/>
          <w:lang w:val="gl-ES"/>
        </w:rPr>
        <w:t xml:space="preserve">e patrimonio progresiva” (Artigo 4.1.) e dividido entre doce. </w:t>
      </w:r>
    </w:p>
    <w:p w:rsidR="005E0010" w:rsidRDefault="004C24DC">
      <w:pPr>
        <w:pStyle w:val="western"/>
        <w:spacing w:before="57" w:beforeAutospacing="0" w:after="113" w:line="360" w:lineRule="auto"/>
        <w:ind w:left="273"/>
        <w:jc w:val="center"/>
        <w:rPr>
          <w:color w:val="00000A"/>
        </w:rPr>
      </w:pPr>
      <w:proofErr w:type="spellStart"/>
      <w:r>
        <w:rPr>
          <w:rFonts w:ascii="Calibri" w:hAnsi="Calibri"/>
          <w:b/>
          <w:bCs/>
          <w:color w:val="00000A"/>
          <w:sz w:val="20"/>
          <w:szCs w:val="20"/>
          <w:lang w:val="gl-ES"/>
        </w:rPr>
        <w:t>Cp</w:t>
      </w:r>
      <w:r>
        <w:rPr>
          <w:rFonts w:ascii="Calibri" w:hAnsi="Calibri"/>
          <w:b/>
          <w:bCs/>
          <w:color w:val="00000A"/>
          <w:sz w:val="20"/>
          <w:szCs w:val="20"/>
          <w:vertAlign w:val="subscript"/>
          <w:lang w:val="gl-ES"/>
        </w:rPr>
        <w:t>m</w:t>
      </w:r>
      <w:proofErr w:type="spellEnd"/>
      <w:r>
        <w:rPr>
          <w:rFonts w:ascii="Calibri" w:hAnsi="Calibri"/>
          <w:b/>
          <w:bCs/>
          <w:color w:val="00000A"/>
          <w:sz w:val="20"/>
          <w:szCs w:val="20"/>
          <w:lang w:val="gl-ES"/>
        </w:rPr>
        <w:t xml:space="preserve"> = P x coeficiente progresivo patrimonio /12</w:t>
      </w:r>
    </w:p>
    <w:p w:rsidR="005E0010" w:rsidRDefault="004C24DC">
      <w:pPr>
        <w:pStyle w:val="western"/>
        <w:spacing w:before="57" w:beforeAutospacing="0" w:after="113" w:line="360" w:lineRule="auto"/>
        <w:ind w:left="273"/>
        <w:jc w:val="center"/>
        <w:rPr>
          <w:color w:val="00000A"/>
        </w:rPr>
      </w:pPr>
      <w:proofErr w:type="spellStart"/>
      <w:r>
        <w:rPr>
          <w:rFonts w:ascii="Calibri" w:hAnsi="Calibri"/>
          <w:b/>
          <w:bCs/>
          <w:color w:val="00000A"/>
          <w:sz w:val="20"/>
          <w:szCs w:val="20"/>
          <w:lang w:val="gl-ES"/>
        </w:rPr>
        <w:t>Mv</w:t>
      </w:r>
      <w:r>
        <w:rPr>
          <w:rFonts w:ascii="Calibri" w:hAnsi="Calibri"/>
          <w:b/>
          <w:bCs/>
          <w:color w:val="00000A"/>
          <w:sz w:val="20"/>
          <w:szCs w:val="20"/>
          <w:vertAlign w:val="subscript"/>
          <w:lang w:val="gl-ES"/>
        </w:rPr>
        <w:t>cp</w:t>
      </w:r>
      <w:proofErr w:type="spellEnd"/>
      <w:r>
        <w:rPr>
          <w:rFonts w:ascii="Calibri" w:hAnsi="Calibri"/>
          <w:b/>
          <w:bCs/>
          <w:color w:val="00000A"/>
          <w:sz w:val="20"/>
          <w:szCs w:val="20"/>
          <w:lang w:val="gl-ES"/>
        </w:rPr>
        <w:t xml:space="preserve">= </w:t>
      </w:r>
      <w:proofErr w:type="spellStart"/>
      <w:r>
        <w:rPr>
          <w:rFonts w:ascii="Calibri" w:hAnsi="Calibri"/>
          <w:b/>
          <w:bCs/>
          <w:color w:val="00000A"/>
          <w:sz w:val="20"/>
          <w:szCs w:val="20"/>
          <w:lang w:val="gl-ES"/>
        </w:rPr>
        <w:t>Mv</w:t>
      </w:r>
      <w:r>
        <w:rPr>
          <w:rFonts w:ascii="Calibri" w:hAnsi="Calibri"/>
          <w:b/>
          <w:bCs/>
          <w:color w:val="00000A"/>
          <w:sz w:val="20"/>
          <w:szCs w:val="20"/>
          <w:vertAlign w:val="subscript"/>
          <w:lang w:val="gl-ES"/>
        </w:rPr>
        <w:t>i</w:t>
      </w:r>
      <w:proofErr w:type="spellEnd"/>
      <w:r>
        <w:rPr>
          <w:rFonts w:ascii="Calibri" w:hAnsi="Calibri"/>
          <w:b/>
          <w:bCs/>
          <w:color w:val="00000A"/>
          <w:sz w:val="20"/>
          <w:szCs w:val="20"/>
          <w:vertAlign w:val="subscript"/>
          <w:lang w:val="gl-ES"/>
        </w:rPr>
        <w:t xml:space="preserve"> –</w:t>
      </w:r>
      <w:r>
        <w:rPr>
          <w:rFonts w:ascii="Calibri" w:hAnsi="Calibri"/>
          <w:b/>
          <w:bCs/>
          <w:color w:val="00000A"/>
          <w:sz w:val="20"/>
          <w:szCs w:val="20"/>
          <w:lang w:val="gl-ES"/>
        </w:rPr>
        <w:t xml:space="preserve"> </w:t>
      </w:r>
      <w:proofErr w:type="spellStart"/>
      <w:r>
        <w:rPr>
          <w:rFonts w:ascii="Calibri" w:hAnsi="Calibri"/>
          <w:b/>
          <w:bCs/>
          <w:color w:val="00000A"/>
          <w:sz w:val="20"/>
          <w:szCs w:val="20"/>
          <w:lang w:val="gl-ES"/>
        </w:rPr>
        <w:t>Cp</w:t>
      </w:r>
      <w:r>
        <w:rPr>
          <w:rFonts w:ascii="Calibri" w:hAnsi="Calibri"/>
          <w:b/>
          <w:bCs/>
          <w:color w:val="00000A"/>
          <w:sz w:val="20"/>
          <w:szCs w:val="20"/>
          <w:vertAlign w:val="subscript"/>
          <w:lang w:val="gl-ES"/>
        </w:rPr>
        <w:t>m</w:t>
      </w:r>
      <w:proofErr w:type="spellEnd"/>
      <w:r>
        <w:rPr>
          <w:rFonts w:ascii="Calibri" w:hAnsi="Calibri"/>
          <w:b/>
          <w:bCs/>
          <w:color w:val="00000A"/>
          <w:sz w:val="20"/>
          <w:szCs w:val="20"/>
          <w:vertAlign w:val="subscript"/>
          <w:lang w:val="gl-ES"/>
        </w:rPr>
        <w:t xml:space="preserve">. </w:t>
      </w:r>
    </w:p>
    <w:p w:rsidR="005E0010" w:rsidRDefault="004C24DC">
      <w:pPr>
        <w:tabs>
          <w:tab w:val="left" w:pos="567"/>
        </w:tabs>
        <w:suppressAutoHyphens/>
        <w:spacing w:before="113" w:after="113" w:line="360" w:lineRule="auto"/>
        <w:jc w:val="both"/>
        <w:rPr>
          <w:sz w:val="20"/>
          <w:szCs w:val="20"/>
        </w:rPr>
      </w:pPr>
      <w:proofErr w:type="gramStart"/>
      <w:r>
        <w:rPr>
          <w:rStyle w:val="Fuentedeprrafopredeter1"/>
          <w:rFonts w:cs="Calibri"/>
          <w:sz w:val="20"/>
          <w:szCs w:val="20"/>
          <w:lang w:val="es-ES"/>
        </w:rPr>
        <w:t>3.</w:t>
      </w:r>
      <w:r>
        <w:rPr>
          <w:rStyle w:val="Fuentedeprrafopredeter1"/>
          <w:rFonts w:cs="Calibri"/>
          <w:sz w:val="20"/>
          <w:szCs w:val="20"/>
        </w:rPr>
        <w:t>En</w:t>
      </w:r>
      <w:proofErr w:type="gramEnd"/>
      <w:r>
        <w:rPr>
          <w:rStyle w:val="Fuentedeprrafopredeter1"/>
          <w:rFonts w:cs="Calibri"/>
          <w:sz w:val="20"/>
          <w:szCs w:val="20"/>
        </w:rPr>
        <w:t xml:space="preserve"> calquera caso, garantirase á persoa usuaria unha dispoñibilidade mínima equivalente ao 20% do IPREM mensual. Este mínimo i</w:t>
      </w:r>
      <w:r>
        <w:rPr>
          <w:rStyle w:val="Fuentedeprrafopredeter1"/>
          <w:rFonts w:cs="Calibri"/>
          <w:sz w:val="20"/>
          <w:szCs w:val="20"/>
        </w:rPr>
        <w:t xml:space="preserve">ncrementarase ata un máximo do 26% </w:t>
      </w:r>
      <w:proofErr w:type="spellStart"/>
      <w:r>
        <w:rPr>
          <w:rStyle w:val="Fuentedeprrafopredeter1"/>
          <w:rFonts w:cs="Calibri"/>
          <w:sz w:val="20"/>
          <w:szCs w:val="20"/>
        </w:rPr>
        <w:t>do</w:t>
      </w:r>
      <w:proofErr w:type="spellEnd"/>
      <w:r>
        <w:rPr>
          <w:rStyle w:val="Fuentedeprrafopredeter1"/>
          <w:rFonts w:cs="Calibri"/>
          <w:sz w:val="20"/>
          <w:szCs w:val="20"/>
        </w:rPr>
        <w:t xml:space="preserve"> IPREM para as persoas menores de 65 anos e que teñan recoñecido un grao de discapacidade igual ou superior ao 65% segundo o certificado de discapacidade emitido polo Equipo de Valoración e Orientación (en diante, EVO) </w:t>
      </w:r>
      <w:r>
        <w:rPr>
          <w:rStyle w:val="Fuentedeprrafopredeter1"/>
          <w:rFonts w:cs="Calibri"/>
          <w:sz w:val="20"/>
          <w:szCs w:val="20"/>
        </w:rPr>
        <w:t>correspondente, en concepto de custos adicionais asociados á discapacidade.</w:t>
      </w:r>
    </w:p>
    <w:p w:rsidR="005E0010" w:rsidRDefault="004C24DC">
      <w:pPr>
        <w:tabs>
          <w:tab w:val="left" w:pos="855"/>
        </w:tabs>
        <w:spacing w:before="113" w:after="113" w:line="360" w:lineRule="auto"/>
        <w:ind w:left="-284"/>
        <w:jc w:val="both"/>
        <w:rPr>
          <w:sz w:val="20"/>
          <w:szCs w:val="20"/>
        </w:rPr>
      </w:pPr>
      <w:r>
        <w:rPr>
          <w:rStyle w:val="Fuentedeprrafopredeter1"/>
          <w:rFonts w:cs="Calibri"/>
          <w:sz w:val="20"/>
          <w:szCs w:val="20"/>
        </w:rPr>
        <w:t xml:space="preserve">Sempre que a persoa usuaria obtivese ingresos iguais ou superiores ao importe íntegro da pensión de xubilación e invalidez da seguridade social na súa modalidade non contributiva, </w:t>
      </w:r>
      <w:r>
        <w:rPr>
          <w:rStyle w:val="Fuentedeprrafopredeter1"/>
          <w:rFonts w:cs="Calibri"/>
          <w:sz w:val="20"/>
          <w:szCs w:val="20"/>
        </w:rPr>
        <w:t>previsto nas leis de orzamentos do Estado, garantiráselle a contía correspondente á mensualidade da pensión de xubilación e invalidez da seguridade social na súa modalidade non contributiva (excluíndo as pagas extras), cando o seu cónxuxe, ou persoa con re</w:t>
      </w:r>
      <w:r>
        <w:rPr>
          <w:rStyle w:val="Fuentedeprrafopredeter1"/>
          <w:rFonts w:cs="Calibri"/>
          <w:sz w:val="20"/>
          <w:szCs w:val="20"/>
        </w:rPr>
        <w:t>lación análoga a conxugal, permanecese na súa vivenda habitual e acreditase non dispoñer de recursos económicos superiores á citada contía. No suposto anterior, o cónxuxe ou persoa con análoga relación, deberá iniciar aqueles trámites que lle permitan disp</w:t>
      </w:r>
      <w:r>
        <w:rPr>
          <w:rStyle w:val="Fuentedeprrafopredeter1"/>
          <w:rFonts w:cs="Calibri"/>
          <w:sz w:val="20"/>
          <w:szCs w:val="20"/>
        </w:rPr>
        <w:t>oñer de ingresos periódicos para a cobertura das súas necesidades, realizando os mesmos nun prazo máximo de 10 días posteriores á ocupación efectiva da praza pola persoa usuaria no servizo. Unha vez que o cónxuxe, ou relación análoga, reciba resolución fav</w:t>
      </w:r>
      <w:r>
        <w:rPr>
          <w:rStyle w:val="Fuentedeprrafopredeter1"/>
          <w:rFonts w:cs="Calibri"/>
          <w:sz w:val="20"/>
          <w:szCs w:val="20"/>
        </w:rPr>
        <w:t>orable de concesión de pensión ou prestación, revisarase a participación económica da persoa usuaria, tendo efectos económicos dende a data da resolución da dita pensión ou prestación.</w:t>
      </w:r>
    </w:p>
    <w:p w:rsidR="005E0010" w:rsidRDefault="004C24DC">
      <w:pPr>
        <w:spacing w:before="113" w:after="113" w:line="360" w:lineRule="auto"/>
        <w:ind w:left="-284"/>
        <w:jc w:val="both"/>
        <w:textAlignment w:val="baseline"/>
        <w:rPr>
          <w:sz w:val="20"/>
          <w:szCs w:val="20"/>
        </w:rPr>
      </w:pPr>
      <w:r>
        <w:rPr>
          <w:rFonts w:eastAsia="Times New Roman" w:cs="Arial"/>
          <w:b/>
          <w:sz w:val="20"/>
          <w:szCs w:val="20"/>
          <w:lang w:eastAsia="es-ES"/>
        </w:rPr>
        <w:t>Artigo 6.- Normas de xestión</w:t>
      </w:r>
    </w:p>
    <w:p w:rsidR="005E0010" w:rsidRDefault="004C24DC">
      <w:pPr>
        <w:pStyle w:val="Prrafodelista"/>
        <w:numPr>
          <w:ilvl w:val="0"/>
          <w:numId w:val="1"/>
        </w:numPr>
        <w:spacing w:before="113" w:after="113" w:line="360" w:lineRule="auto"/>
        <w:ind w:left="0" w:hanging="340"/>
        <w:jc w:val="both"/>
        <w:textAlignment w:val="baseline"/>
        <w:rPr>
          <w:sz w:val="20"/>
          <w:szCs w:val="20"/>
        </w:rPr>
      </w:pPr>
      <w:r>
        <w:rPr>
          <w:rFonts w:eastAsia="Times New Roman" w:cs="Arial"/>
          <w:sz w:val="20"/>
          <w:szCs w:val="20"/>
          <w:lang w:eastAsia="es-ES"/>
        </w:rPr>
        <w:t>O procedemento para o acceso ao servizos e</w:t>
      </w:r>
      <w:r>
        <w:rPr>
          <w:rFonts w:eastAsia="Times New Roman" w:cs="Arial"/>
          <w:sz w:val="20"/>
          <w:szCs w:val="20"/>
          <w:lang w:eastAsia="es-ES"/>
        </w:rPr>
        <w:t xml:space="preserve"> a determinación da capacidade económica en cada momento será o establecido na correspondente </w:t>
      </w:r>
      <w:r>
        <w:rPr>
          <w:rFonts w:eastAsia="Times New Roman" w:cs="Arial"/>
          <w:b/>
          <w:sz w:val="20"/>
          <w:szCs w:val="20"/>
          <w:lang w:eastAsia="es-ES"/>
        </w:rPr>
        <w:t>“</w:t>
      </w:r>
      <w:r>
        <w:rPr>
          <w:rFonts w:eastAsia="Times New Roman" w:cs="Arial"/>
          <w:b/>
          <w:i/>
          <w:sz w:val="20"/>
          <w:szCs w:val="20"/>
          <w:lang w:eastAsia="es-ES"/>
        </w:rPr>
        <w:t xml:space="preserve">Ordenanza para o acceso ao Servizo de atención residencial e </w:t>
      </w:r>
      <w:r>
        <w:rPr>
          <w:rFonts w:eastAsia="Times New Roman" w:cs="Arial"/>
          <w:b/>
          <w:i/>
          <w:sz w:val="20"/>
          <w:szCs w:val="20"/>
          <w:lang w:eastAsia="es-ES"/>
        </w:rPr>
        <w:br/>
        <w:t xml:space="preserve">Servizo de atención diúrna no centro de atención a persoas maiores de </w:t>
      </w:r>
      <w:r w:rsidR="00B8179C" w:rsidRPr="00B8179C">
        <w:rPr>
          <w:rFonts w:eastAsia="Times New Roman" w:cs="Arial"/>
          <w:b/>
          <w:i/>
          <w:sz w:val="20"/>
          <w:szCs w:val="20"/>
          <w:lang w:eastAsia="es-ES"/>
        </w:rPr>
        <w:t>Pol</w:t>
      </w:r>
      <w:r>
        <w:rPr>
          <w:rFonts w:eastAsia="Times New Roman" w:cs="Arial"/>
          <w:b/>
          <w:i/>
          <w:sz w:val="20"/>
          <w:szCs w:val="20"/>
          <w:lang w:eastAsia="es-ES"/>
        </w:rPr>
        <w:t>”.</w:t>
      </w:r>
      <w:r>
        <w:rPr>
          <w:rFonts w:eastAsia="Times New Roman" w:cs="Arial"/>
          <w:sz w:val="20"/>
          <w:szCs w:val="20"/>
          <w:lang w:eastAsia="es-ES"/>
        </w:rPr>
        <w:t xml:space="preserve"> Do mesmo xeito os servizos a prestar, dereitos e deberes dos usuarios/as serán os recollidos nos Regulamentos de Réxime Interno dos Servizos do Centro.</w:t>
      </w:r>
    </w:p>
    <w:p w:rsidR="005E0010" w:rsidRDefault="004C24DC">
      <w:pPr>
        <w:pStyle w:val="Prrafodelista"/>
        <w:numPr>
          <w:ilvl w:val="0"/>
          <w:numId w:val="1"/>
        </w:numPr>
        <w:spacing w:before="113" w:after="113" w:line="360" w:lineRule="auto"/>
        <w:ind w:left="0" w:hanging="340"/>
        <w:jc w:val="both"/>
        <w:textAlignment w:val="baseline"/>
        <w:rPr>
          <w:sz w:val="20"/>
          <w:szCs w:val="20"/>
        </w:rPr>
      </w:pPr>
      <w:r>
        <w:rPr>
          <w:rFonts w:eastAsia="Times New Roman" w:cs="Arial"/>
          <w:sz w:val="20"/>
          <w:szCs w:val="20"/>
          <w:lang w:eastAsia="es-ES"/>
        </w:rPr>
        <w:t>A obriga de pagamento nace dende que se inicia a prestación do servizo, é dicir, o día da ocupación efe</w:t>
      </w:r>
      <w:r>
        <w:rPr>
          <w:rFonts w:eastAsia="Times New Roman" w:cs="Arial"/>
          <w:sz w:val="20"/>
          <w:szCs w:val="20"/>
          <w:lang w:eastAsia="es-ES"/>
        </w:rPr>
        <w:t>ctiva da praza por parte da persoa usuaria, ou do día en que teña lugar a reincorporación ou alta como consecuencia dunha baixa xustificada e exenta de pagamento.</w:t>
      </w:r>
    </w:p>
    <w:p w:rsidR="005E0010" w:rsidRDefault="004C24DC">
      <w:pPr>
        <w:pStyle w:val="Prrafodelista"/>
        <w:numPr>
          <w:ilvl w:val="0"/>
          <w:numId w:val="1"/>
        </w:numPr>
        <w:spacing w:before="113" w:after="113" w:line="360" w:lineRule="auto"/>
        <w:ind w:left="0" w:hanging="340"/>
        <w:jc w:val="both"/>
        <w:textAlignment w:val="baseline"/>
        <w:rPr>
          <w:sz w:val="20"/>
          <w:szCs w:val="20"/>
        </w:rPr>
      </w:pPr>
      <w:r>
        <w:rPr>
          <w:rFonts w:eastAsia="Times New Roman" w:cs="Arial"/>
          <w:sz w:val="20"/>
          <w:szCs w:val="20"/>
          <w:lang w:eastAsia="es-ES"/>
        </w:rPr>
        <w:lastRenderedPageBreak/>
        <w:t>O prezo do primeiro mes será liquidado por días cando a alta non se produza o primeiro día do</w:t>
      </w:r>
      <w:r>
        <w:rPr>
          <w:rFonts w:eastAsia="Times New Roman" w:cs="Arial"/>
          <w:sz w:val="20"/>
          <w:szCs w:val="20"/>
          <w:lang w:eastAsia="es-ES"/>
        </w:rPr>
        <w:t xml:space="preserve"> mes.</w:t>
      </w:r>
    </w:p>
    <w:p w:rsidR="005E0010" w:rsidRDefault="004C24DC">
      <w:pPr>
        <w:pStyle w:val="Prrafodelista"/>
        <w:numPr>
          <w:ilvl w:val="0"/>
          <w:numId w:val="1"/>
        </w:numPr>
        <w:spacing w:before="113" w:after="113" w:line="360" w:lineRule="auto"/>
        <w:ind w:left="0" w:hanging="340"/>
        <w:jc w:val="both"/>
        <w:textAlignment w:val="baseline"/>
        <w:rPr>
          <w:sz w:val="20"/>
          <w:szCs w:val="20"/>
        </w:rPr>
      </w:pPr>
      <w:r>
        <w:rPr>
          <w:rFonts w:eastAsia="Times New Roman" w:cs="Arial"/>
          <w:sz w:val="20"/>
          <w:szCs w:val="20"/>
          <w:lang w:eastAsia="es-ES"/>
        </w:rPr>
        <w:t>No momento da perda da condición de persoa beneficiaria do servizo, realizarase a liquidación definitiva pola diferenza entre os pagos efectuados mediante liquidacións, básicas ou complementarias, e a suma das achegas económicas esixibles durante o p</w:t>
      </w:r>
      <w:r>
        <w:rPr>
          <w:rFonts w:eastAsia="Times New Roman" w:cs="Arial"/>
          <w:sz w:val="20"/>
          <w:szCs w:val="20"/>
          <w:lang w:eastAsia="es-ES"/>
        </w:rPr>
        <w:t>eríodo que estivo gozando dos servizos.</w:t>
      </w:r>
    </w:p>
    <w:p w:rsidR="005E0010" w:rsidRDefault="004C24DC">
      <w:pPr>
        <w:pStyle w:val="Prrafodelista"/>
        <w:numPr>
          <w:ilvl w:val="0"/>
          <w:numId w:val="1"/>
        </w:numPr>
        <w:spacing w:before="113" w:after="113" w:line="360" w:lineRule="auto"/>
        <w:ind w:left="0" w:hanging="340"/>
        <w:jc w:val="both"/>
        <w:textAlignment w:val="baseline"/>
        <w:rPr>
          <w:rFonts w:eastAsia="Times New Roman" w:cs="Arial"/>
          <w:sz w:val="20"/>
          <w:szCs w:val="20"/>
          <w:lang w:eastAsia="es-ES"/>
        </w:rPr>
      </w:pPr>
      <w:r>
        <w:rPr>
          <w:rFonts w:eastAsia="Times New Roman" w:cs="Arial"/>
          <w:sz w:val="20"/>
          <w:szCs w:val="20"/>
          <w:lang w:eastAsia="es-ES"/>
        </w:rPr>
        <w:t>No suposto de suspensión temporal dos servizos, terase en conta o seguinte:</w:t>
      </w:r>
    </w:p>
    <w:p w:rsidR="005E0010" w:rsidRDefault="004C24DC">
      <w:pPr>
        <w:pStyle w:val="Prrafodelista"/>
        <w:numPr>
          <w:ilvl w:val="3"/>
          <w:numId w:val="6"/>
        </w:numPr>
        <w:tabs>
          <w:tab w:val="left" w:pos="284"/>
        </w:tabs>
        <w:suppressAutoHyphens/>
        <w:spacing w:before="113" w:after="113" w:line="360" w:lineRule="auto"/>
        <w:ind w:left="284" w:hanging="284"/>
        <w:jc w:val="both"/>
        <w:textAlignment w:val="baseline"/>
        <w:rPr>
          <w:sz w:val="20"/>
          <w:szCs w:val="20"/>
        </w:rPr>
      </w:pPr>
      <w:r>
        <w:rPr>
          <w:rStyle w:val="Fuentedeprrafopredeter1"/>
          <w:rFonts w:cs="Calibri"/>
          <w:sz w:val="20"/>
          <w:szCs w:val="20"/>
        </w:rPr>
        <w:t xml:space="preserve">Ausencias motivadas por unha convivencia familiar, así como as que se entendan </w:t>
      </w:r>
      <w:proofErr w:type="spellStart"/>
      <w:r>
        <w:rPr>
          <w:rStyle w:val="Fuentedeprrafopredeter1"/>
          <w:rFonts w:cs="Calibri"/>
          <w:sz w:val="20"/>
          <w:szCs w:val="20"/>
        </w:rPr>
        <w:t>vencelladas</w:t>
      </w:r>
      <w:proofErr w:type="spellEnd"/>
      <w:r>
        <w:rPr>
          <w:rStyle w:val="Fuentedeprrafopredeter1"/>
          <w:rFonts w:cs="Calibri"/>
          <w:sz w:val="20"/>
          <w:szCs w:val="20"/>
        </w:rPr>
        <w:t xml:space="preserve"> a un período </w:t>
      </w:r>
      <w:proofErr w:type="spellStart"/>
      <w:r>
        <w:rPr>
          <w:rStyle w:val="Fuentedeprrafopredeter1"/>
          <w:rFonts w:cs="Calibri"/>
          <w:sz w:val="20"/>
          <w:szCs w:val="20"/>
        </w:rPr>
        <w:t>vacacional</w:t>
      </w:r>
      <w:proofErr w:type="spellEnd"/>
      <w:r>
        <w:rPr>
          <w:rStyle w:val="Fuentedeprrafopredeter1"/>
          <w:rFonts w:cs="Calibri"/>
          <w:sz w:val="20"/>
          <w:szCs w:val="20"/>
        </w:rPr>
        <w:t xml:space="preserve"> ou de descanso, que terán</w:t>
      </w:r>
      <w:r>
        <w:rPr>
          <w:rStyle w:val="Fuentedeprrafopredeter1"/>
          <w:rFonts w:cs="Calibri"/>
          <w:sz w:val="20"/>
          <w:szCs w:val="20"/>
        </w:rPr>
        <w:t xml:space="preserve"> como máximo unha duración de 30 días naturais continuados ao ano, ou dous períodos de 15 días continuados ao ano. Estas ausencias non </w:t>
      </w:r>
      <w:proofErr w:type="spellStart"/>
      <w:r>
        <w:rPr>
          <w:rStyle w:val="Fuentedeprrafopredeter1"/>
          <w:rFonts w:cs="Calibri"/>
          <w:sz w:val="20"/>
          <w:szCs w:val="20"/>
        </w:rPr>
        <w:t>deivindicarán</w:t>
      </w:r>
      <w:proofErr w:type="spellEnd"/>
      <w:r>
        <w:rPr>
          <w:rStyle w:val="Fuentedeprrafopredeter1"/>
          <w:rFonts w:cs="Calibri"/>
          <w:sz w:val="20"/>
          <w:szCs w:val="20"/>
        </w:rPr>
        <w:t xml:space="preserve"> na obriga de pago en concepto de reserva de praza, sempre e cando se comunique con antelación por parte da </w:t>
      </w:r>
      <w:r>
        <w:rPr>
          <w:rStyle w:val="Fuentedeprrafopredeter1"/>
          <w:rFonts w:cs="Calibri"/>
          <w:sz w:val="20"/>
          <w:szCs w:val="20"/>
        </w:rPr>
        <w:t xml:space="preserve">persoa beneficiaria esta ausencia nun período mínimo de 7 días naturais. No caso de non comunicarse a ausencia no período indicado, poderán participar no custo do servizo nun 100% do importe correspondente en concepto de reserva de praza. </w:t>
      </w:r>
    </w:p>
    <w:p w:rsidR="005E0010" w:rsidRDefault="004C24DC">
      <w:pPr>
        <w:numPr>
          <w:ilvl w:val="3"/>
          <w:numId w:val="6"/>
        </w:numPr>
        <w:tabs>
          <w:tab w:val="left" w:pos="284"/>
        </w:tabs>
        <w:suppressAutoHyphens/>
        <w:spacing w:before="113" w:after="113" w:line="360" w:lineRule="auto"/>
        <w:ind w:left="284" w:hanging="284"/>
        <w:jc w:val="both"/>
        <w:rPr>
          <w:sz w:val="20"/>
          <w:szCs w:val="20"/>
        </w:rPr>
      </w:pPr>
      <w:r>
        <w:rPr>
          <w:rStyle w:val="Fuentedeprrafopredeter1"/>
          <w:rFonts w:cs="Calibri"/>
          <w:sz w:val="20"/>
          <w:szCs w:val="20"/>
        </w:rPr>
        <w:t xml:space="preserve">Ausencias </w:t>
      </w:r>
      <w:r>
        <w:rPr>
          <w:rStyle w:val="Fuentedeprrafopredeter1"/>
          <w:rFonts w:cs="Calibri"/>
          <w:sz w:val="20"/>
          <w:szCs w:val="20"/>
        </w:rPr>
        <w:t xml:space="preserve">puntuais non planificadas, derivadas de procesos de hospitalización ou outras situacións de causa maior que se poidan acreditar documentalmente. Neste caso, as persoas que se atopen nesta situación, non participarán no custo do servizo ata un máximo de 10 </w:t>
      </w:r>
      <w:r>
        <w:rPr>
          <w:rStyle w:val="Fuentedeprrafopredeter1"/>
          <w:rFonts w:cs="Calibri"/>
          <w:sz w:val="20"/>
          <w:szCs w:val="20"/>
        </w:rPr>
        <w:t>días naturais continuados. A partir dos mesmos, poderán participar, a criterio técnico, no custo do servizo nun 40% do importe correspondente en concepto de reserva de praza.</w:t>
      </w:r>
    </w:p>
    <w:p w:rsidR="005E0010" w:rsidRDefault="004C24DC">
      <w:pPr>
        <w:numPr>
          <w:ilvl w:val="3"/>
          <w:numId w:val="6"/>
        </w:numPr>
        <w:tabs>
          <w:tab w:val="left" w:pos="284"/>
        </w:tabs>
        <w:suppressAutoHyphens/>
        <w:spacing w:before="113" w:after="113" w:line="360" w:lineRule="auto"/>
        <w:ind w:left="284" w:hanging="284"/>
        <w:jc w:val="both"/>
        <w:rPr>
          <w:sz w:val="20"/>
          <w:szCs w:val="20"/>
        </w:rPr>
      </w:pPr>
      <w:r>
        <w:rPr>
          <w:rStyle w:val="Fuentedeprrafopredeter1"/>
          <w:rFonts w:cs="Calibri"/>
          <w:sz w:val="20"/>
          <w:szCs w:val="20"/>
        </w:rPr>
        <w:t>Outras ausencias. As persoas usuarias que se ausenten do servizo por outros motiv</w:t>
      </w:r>
      <w:r>
        <w:rPr>
          <w:rStyle w:val="Fuentedeprrafopredeter1"/>
          <w:rFonts w:cs="Calibri"/>
          <w:sz w:val="20"/>
          <w:szCs w:val="20"/>
        </w:rPr>
        <w:t xml:space="preserve">os distintos aos indicados anteriormente, participarán no custo do servizo nun 100% do importe correspondente en concepto de reserva de praza. </w:t>
      </w:r>
    </w:p>
    <w:p w:rsidR="005E0010" w:rsidRDefault="004C24DC">
      <w:pPr>
        <w:pStyle w:val="Prrafodelista"/>
        <w:spacing w:before="113" w:after="113" w:line="360" w:lineRule="auto"/>
        <w:ind w:left="-284"/>
        <w:jc w:val="both"/>
        <w:textAlignment w:val="baseline"/>
        <w:rPr>
          <w:sz w:val="20"/>
          <w:szCs w:val="20"/>
        </w:rPr>
      </w:pPr>
      <w:r>
        <w:rPr>
          <w:rFonts w:eastAsia="Times New Roman" w:cs="Arial"/>
          <w:b/>
          <w:sz w:val="20"/>
          <w:szCs w:val="20"/>
          <w:lang w:eastAsia="es-ES"/>
        </w:rPr>
        <w:t>Artigo 7.- Pagamento do prezo público</w:t>
      </w:r>
    </w:p>
    <w:p w:rsidR="005E0010" w:rsidRDefault="004C24DC">
      <w:pPr>
        <w:pStyle w:val="Prrafodelista"/>
        <w:numPr>
          <w:ilvl w:val="0"/>
          <w:numId w:val="7"/>
        </w:numPr>
        <w:tabs>
          <w:tab w:val="left" w:pos="63"/>
        </w:tabs>
        <w:spacing w:before="113" w:after="113" w:line="360" w:lineRule="auto"/>
        <w:ind w:left="57" w:hanging="340"/>
        <w:jc w:val="both"/>
        <w:textAlignment w:val="baseline"/>
        <w:rPr>
          <w:sz w:val="20"/>
          <w:szCs w:val="20"/>
        </w:rPr>
      </w:pPr>
      <w:r>
        <w:rPr>
          <w:rFonts w:eastAsia="Times New Roman" w:cs="Arial"/>
          <w:sz w:val="20"/>
          <w:szCs w:val="20"/>
          <w:lang w:eastAsia="es-ES"/>
        </w:rPr>
        <w:t>A recadación da achega económica mensual para a modalidade ordinaria reali</w:t>
      </w:r>
      <w:r>
        <w:rPr>
          <w:rFonts w:eastAsia="Times New Roman" w:cs="Arial"/>
          <w:sz w:val="20"/>
          <w:szCs w:val="20"/>
          <w:lang w:eastAsia="es-ES"/>
        </w:rPr>
        <w:t>zarase mediante a domiciliación nunha conta corrente de titularidade da persoa obrigada ao pago que se atope aberta nunha entidade de crédito, por meses vencidos, e dentro dos primeiros 10 días naturais dende a data da emisión da correspondente liquidación</w:t>
      </w:r>
      <w:r>
        <w:rPr>
          <w:rFonts w:eastAsia="Times New Roman" w:cs="Arial"/>
          <w:sz w:val="20"/>
          <w:szCs w:val="20"/>
          <w:lang w:eastAsia="es-ES"/>
        </w:rPr>
        <w:t xml:space="preserve">. O pago entenderase realizado na data do cargo en conta das devanditas domiciliacións, considerándose xustificante do ingreso o que para ese efecto expida a entidade de crédito. </w:t>
      </w:r>
    </w:p>
    <w:p w:rsidR="005E0010" w:rsidRDefault="004C24DC">
      <w:pPr>
        <w:pStyle w:val="Prrafodelista"/>
        <w:numPr>
          <w:ilvl w:val="0"/>
          <w:numId w:val="7"/>
        </w:numPr>
        <w:tabs>
          <w:tab w:val="left" w:pos="63"/>
        </w:tabs>
        <w:spacing w:before="113" w:after="113" w:line="360" w:lineRule="auto"/>
        <w:ind w:left="57" w:hanging="340"/>
        <w:jc w:val="both"/>
        <w:textAlignment w:val="baseline"/>
        <w:rPr>
          <w:sz w:val="20"/>
          <w:szCs w:val="20"/>
        </w:rPr>
      </w:pPr>
      <w:r>
        <w:rPr>
          <w:rFonts w:eastAsia="Times New Roman" w:cs="Arial"/>
          <w:sz w:val="20"/>
          <w:szCs w:val="20"/>
          <w:lang w:eastAsia="es-ES"/>
        </w:rPr>
        <w:t>No suposto de devolución do recibo á entidade emisora, a Administración prac</w:t>
      </w:r>
      <w:r>
        <w:rPr>
          <w:rFonts w:eastAsia="Times New Roman" w:cs="Arial"/>
          <w:sz w:val="20"/>
          <w:szCs w:val="20"/>
          <w:lang w:eastAsia="es-ES"/>
        </w:rPr>
        <w:t>ticará a correspondente liquidación da débeda co contido que determina o artigo 102 da Lei 58/2003, do 17 de decembro, Xeral Tributaria, que será notificada nos termos establecidos na Sección 3.ª do Capítulo II do Título III da devandita Lei.</w:t>
      </w:r>
    </w:p>
    <w:p w:rsidR="005E0010" w:rsidRDefault="004C24DC">
      <w:pPr>
        <w:pStyle w:val="Prrafodelista"/>
        <w:numPr>
          <w:ilvl w:val="0"/>
          <w:numId w:val="7"/>
        </w:numPr>
        <w:tabs>
          <w:tab w:val="left" w:pos="63"/>
        </w:tabs>
        <w:spacing w:before="113" w:after="113" w:line="360" w:lineRule="auto"/>
        <w:ind w:left="57" w:hanging="340"/>
        <w:jc w:val="both"/>
        <w:textAlignment w:val="baseline"/>
        <w:rPr>
          <w:sz w:val="20"/>
          <w:szCs w:val="20"/>
        </w:rPr>
      </w:pPr>
      <w:r>
        <w:rPr>
          <w:rFonts w:eastAsia="Times New Roman" w:cs="Arial"/>
          <w:sz w:val="20"/>
          <w:szCs w:val="20"/>
          <w:lang w:eastAsia="es-ES"/>
        </w:rPr>
        <w:t xml:space="preserve"> Expedirase p</w:t>
      </w:r>
      <w:r>
        <w:rPr>
          <w:rFonts w:eastAsia="Times New Roman" w:cs="Arial"/>
          <w:sz w:val="20"/>
          <w:szCs w:val="20"/>
          <w:lang w:eastAsia="es-ES"/>
        </w:rPr>
        <w:t xml:space="preserve">olo Concello a correspondente liquidación na que se expresarán separadamente cada un dos conceptos liquidados, reflectindo cando menos: </w:t>
      </w:r>
    </w:p>
    <w:p w:rsidR="005E0010" w:rsidRDefault="004C24DC">
      <w:pPr>
        <w:pStyle w:val="Prrafodelista"/>
        <w:numPr>
          <w:ilvl w:val="0"/>
          <w:numId w:val="8"/>
        </w:numPr>
        <w:tabs>
          <w:tab w:val="left" w:pos="450"/>
        </w:tabs>
        <w:spacing w:before="113" w:after="113" w:line="360" w:lineRule="auto"/>
        <w:jc w:val="both"/>
        <w:textAlignment w:val="baseline"/>
        <w:rPr>
          <w:rFonts w:eastAsia="Times New Roman" w:cs="Arial"/>
          <w:sz w:val="20"/>
          <w:szCs w:val="20"/>
          <w:lang w:eastAsia="es-ES"/>
        </w:rPr>
      </w:pPr>
      <w:r>
        <w:rPr>
          <w:rFonts w:eastAsia="Times New Roman" w:cs="Arial"/>
          <w:sz w:val="20"/>
          <w:szCs w:val="20"/>
          <w:lang w:eastAsia="es-ES"/>
        </w:rPr>
        <w:t>Identificación da administración que presta o servizo.</w:t>
      </w:r>
    </w:p>
    <w:p w:rsidR="005E0010" w:rsidRDefault="004C24DC">
      <w:pPr>
        <w:pStyle w:val="Prrafodelista"/>
        <w:numPr>
          <w:ilvl w:val="0"/>
          <w:numId w:val="8"/>
        </w:numPr>
        <w:tabs>
          <w:tab w:val="left" w:pos="450"/>
        </w:tabs>
        <w:spacing w:before="113" w:after="113" w:line="360" w:lineRule="auto"/>
        <w:jc w:val="both"/>
        <w:textAlignment w:val="baseline"/>
        <w:rPr>
          <w:rFonts w:eastAsia="Times New Roman" w:cs="Arial"/>
          <w:sz w:val="20"/>
          <w:szCs w:val="20"/>
          <w:lang w:eastAsia="es-ES"/>
        </w:rPr>
      </w:pPr>
      <w:r>
        <w:rPr>
          <w:rFonts w:eastAsia="Times New Roman" w:cs="Arial"/>
          <w:sz w:val="20"/>
          <w:szCs w:val="20"/>
          <w:lang w:eastAsia="es-ES"/>
        </w:rPr>
        <w:t>Identificación da persoa usuaria.</w:t>
      </w:r>
    </w:p>
    <w:p w:rsidR="005E0010" w:rsidRDefault="004C24DC">
      <w:pPr>
        <w:pStyle w:val="Prrafodelista"/>
        <w:numPr>
          <w:ilvl w:val="0"/>
          <w:numId w:val="8"/>
        </w:numPr>
        <w:tabs>
          <w:tab w:val="left" w:pos="450"/>
        </w:tabs>
        <w:spacing w:before="113" w:after="113" w:line="360" w:lineRule="auto"/>
        <w:jc w:val="both"/>
        <w:textAlignment w:val="baseline"/>
        <w:rPr>
          <w:rFonts w:eastAsia="Times New Roman" w:cs="Arial"/>
          <w:sz w:val="20"/>
          <w:szCs w:val="20"/>
          <w:lang w:eastAsia="es-ES"/>
        </w:rPr>
      </w:pPr>
      <w:r>
        <w:rPr>
          <w:rFonts w:eastAsia="Times New Roman" w:cs="Arial"/>
          <w:sz w:val="20"/>
          <w:szCs w:val="20"/>
          <w:lang w:eastAsia="es-ES"/>
        </w:rPr>
        <w:t>Natureza do ingreso e normativ</w:t>
      </w:r>
      <w:r>
        <w:rPr>
          <w:rFonts w:eastAsia="Times New Roman" w:cs="Arial"/>
          <w:sz w:val="20"/>
          <w:szCs w:val="20"/>
          <w:lang w:eastAsia="es-ES"/>
        </w:rPr>
        <w:t>a de aplicación.</w:t>
      </w:r>
    </w:p>
    <w:p w:rsidR="005E0010" w:rsidRDefault="004C24DC">
      <w:pPr>
        <w:pStyle w:val="Prrafodelista"/>
        <w:numPr>
          <w:ilvl w:val="0"/>
          <w:numId w:val="8"/>
        </w:numPr>
        <w:tabs>
          <w:tab w:val="left" w:pos="450"/>
        </w:tabs>
        <w:spacing w:before="113" w:after="113" w:line="360" w:lineRule="auto"/>
        <w:jc w:val="both"/>
        <w:textAlignment w:val="baseline"/>
        <w:rPr>
          <w:rFonts w:eastAsia="Times New Roman" w:cs="Arial"/>
          <w:sz w:val="20"/>
          <w:szCs w:val="20"/>
          <w:lang w:eastAsia="es-ES"/>
        </w:rPr>
      </w:pPr>
      <w:r>
        <w:rPr>
          <w:rFonts w:eastAsia="Times New Roman" w:cs="Arial"/>
          <w:sz w:val="20"/>
          <w:szCs w:val="20"/>
          <w:lang w:eastAsia="es-ES"/>
        </w:rPr>
        <w:t>Elementos que configuran a débeda e cantidade que se debe ingresar.</w:t>
      </w:r>
    </w:p>
    <w:p w:rsidR="005E0010" w:rsidRDefault="004C24DC">
      <w:pPr>
        <w:pStyle w:val="Prrafodelista"/>
        <w:numPr>
          <w:ilvl w:val="0"/>
          <w:numId w:val="8"/>
        </w:numPr>
        <w:tabs>
          <w:tab w:val="left" w:pos="450"/>
        </w:tabs>
        <w:spacing w:before="113" w:after="113" w:line="360" w:lineRule="auto"/>
        <w:jc w:val="both"/>
        <w:textAlignment w:val="baseline"/>
        <w:rPr>
          <w:rFonts w:eastAsia="Times New Roman" w:cs="Arial"/>
          <w:sz w:val="20"/>
          <w:szCs w:val="20"/>
          <w:lang w:eastAsia="es-ES"/>
        </w:rPr>
      </w:pPr>
      <w:r>
        <w:rPr>
          <w:rFonts w:eastAsia="Times New Roman" w:cs="Arial"/>
          <w:sz w:val="20"/>
          <w:szCs w:val="20"/>
          <w:lang w:eastAsia="es-ES"/>
        </w:rPr>
        <w:lastRenderedPageBreak/>
        <w:t>A circunstancia de actualización do importe indicarase o motivo, método ou forma de actualización, e a data en que terá efectos.</w:t>
      </w:r>
    </w:p>
    <w:p w:rsidR="005E0010" w:rsidRDefault="004C24DC">
      <w:pPr>
        <w:pStyle w:val="Prrafodelista"/>
        <w:numPr>
          <w:ilvl w:val="0"/>
          <w:numId w:val="8"/>
        </w:numPr>
        <w:tabs>
          <w:tab w:val="left" w:pos="450"/>
        </w:tabs>
        <w:spacing w:before="113" w:after="113" w:line="360" w:lineRule="auto"/>
        <w:jc w:val="both"/>
        <w:textAlignment w:val="baseline"/>
        <w:rPr>
          <w:rFonts w:eastAsia="Times New Roman" w:cs="Arial"/>
          <w:sz w:val="20"/>
          <w:szCs w:val="20"/>
          <w:lang w:eastAsia="es-ES"/>
        </w:rPr>
      </w:pPr>
      <w:r>
        <w:rPr>
          <w:rFonts w:eastAsia="Times New Roman" w:cs="Arial"/>
          <w:sz w:val="20"/>
          <w:szCs w:val="20"/>
          <w:lang w:eastAsia="es-ES"/>
        </w:rPr>
        <w:t>Forma, lugar e prazos nos que deberá facer</w:t>
      </w:r>
      <w:r>
        <w:rPr>
          <w:rFonts w:eastAsia="Times New Roman" w:cs="Arial"/>
          <w:sz w:val="20"/>
          <w:szCs w:val="20"/>
          <w:lang w:eastAsia="es-ES"/>
        </w:rPr>
        <w:t>se efectivo o ingreso económico, no caso de non estar domiciliado.</w:t>
      </w:r>
    </w:p>
    <w:p w:rsidR="005E0010" w:rsidRDefault="004C24DC">
      <w:pPr>
        <w:pStyle w:val="Prrafodelista"/>
        <w:numPr>
          <w:ilvl w:val="0"/>
          <w:numId w:val="8"/>
        </w:numPr>
        <w:tabs>
          <w:tab w:val="left" w:pos="450"/>
        </w:tabs>
        <w:spacing w:before="113" w:after="113" w:line="360" w:lineRule="auto"/>
        <w:jc w:val="both"/>
        <w:textAlignment w:val="baseline"/>
        <w:rPr>
          <w:rFonts w:eastAsia="Times New Roman" w:cs="Arial"/>
          <w:sz w:val="20"/>
          <w:szCs w:val="20"/>
          <w:lang w:eastAsia="es-ES"/>
        </w:rPr>
      </w:pPr>
      <w:r>
        <w:rPr>
          <w:rFonts w:eastAsia="Times New Roman" w:cs="Arial"/>
          <w:sz w:val="20"/>
          <w:szCs w:val="20"/>
          <w:lang w:eastAsia="es-ES"/>
        </w:rPr>
        <w:t>Os medios de impugnación que proceda, indicando os prazos e os órganos ante os que se deben interpoñer.</w:t>
      </w:r>
    </w:p>
    <w:p w:rsidR="005E0010" w:rsidRDefault="004C24DC">
      <w:pPr>
        <w:pStyle w:val="Prrafodelista"/>
        <w:numPr>
          <w:ilvl w:val="0"/>
          <w:numId w:val="7"/>
        </w:numPr>
        <w:tabs>
          <w:tab w:val="left" w:pos="63"/>
        </w:tabs>
        <w:spacing w:before="113" w:after="113" w:line="360" w:lineRule="auto"/>
        <w:ind w:left="57" w:hanging="340"/>
        <w:jc w:val="both"/>
        <w:textAlignment w:val="baseline"/>
        <w:rPr>
          <w:sz w:val="20"/>
          <w:szCs w:val="20"/>
        </w:rPr>
      </w:pPr>
      <w:r>
        <w:rPr>
          <w:rFonts w:eastAsia="Times New Roman" w:cs="Arial"/>
          <w:sz w:val="20"/>
          <w:szCs w:val="20"/>
          <w:lang w:eastAsia="es-ES"/>
        </w:rPr>
        <w:t>As persoas usuarias na modalidade excepcional obrigadas ao pagamento, poderán domicil</w:t>
      </w:r>
      <w:r>
        <w:rPr>
          <w:rFonts w:eastAsia="Times New Roman" w:cs="Arial"/>
          <w:sz w:val="20"/>
          <w:szCs w:val="20"/>
          <w:lang w:eastAsia="es-ES"/>
        </w:rPr>
        <w:t>iar os pagamentos correspondentes ou realizar o ingreso na conta que conste no recibo de liquidación.</w:t>
      </w:r>
    </w:p>
    <w:p w:rsidR="005E0010" w:rsidRDefault="004C24DC">
      <w:pPr>
        <w:spacing w:before="113" w:after="113" w:line="360" w:lineRule="auto"/>
        <w:ind w:left="-284"/>
        <w:jc w:val="both"/>
        <w:textAlignment w:val="baseline"/>
        <w:rPr>
          <w:sz w:val="20"/>
          <w:szCs w:val="20"/>
        </w:rPr>
      </w:pPr>
      <w:r>
        <w:rPr>
          <w:rFonts w:eastAsia="Times New Roman" w:cs="Arial"/>
          <w:b/>
          <w:bCs/>
          <w:iCs/>
          <w:sz w:val="20"/>
          <w:szCs w:val="20"/>
          <w:lang w:eastAsia="es-ES"/>
        </w:rPr>
        <w:t>Artigo 8.- Devolución de ingresos</w:t>
      </w:r>
    </w:p>
    <w:p w:rsidR="005E0010" w:rsidRDefault="004C24DC">
      <w:pPr>
        <w:spacing w:before="113" w:after="113" w:line="360" w:lineRule="auto"/>
        <w:ind w:left="-284"/>
        <w:jc w:val="both"/>
        <w:textAlignment w:val="baseline"/>
        <w:rPr>
          <w:sz w:val="20"/>
          <w:szCs w:val="20"/>
        </w:rPr>
      </w:pPr>
      <w:r>
        <w:rPr>
          <w:rFonts w:eastAsia="Times New Roman" w:cs="Arial"/>
          <w:sz w:val="20"/>
          <w:szCs w:val="20"/>
          <w:lang w:eastAsia="es-ES"/>
        </w:rPr>
        <w:t>Cando por causas non imputables a persoa obrigada ao pagamento do prezo público non se preste o servizo ou realice a act</w:t>
      </w:r>
      <w:r>
        <w:rPr>
          <w:rFonts w:eastAsia="Times New Roman" w:cs="Arial"/>
          <w:sz w:val="20"/>
          <w:szCs w:val="20"/>
          <w:lang w:eastAsia="es-ES"/>
        </w:rPr>
        <w:t>ividade, procederase á devolución do importe correspondente.</w:t>
      </w:r>
    </w:p>
    <w:p w:rsidR="005E0010" w:rsidRDefault="004C24DC">
      <w:pPr>
        <w:spacing w:before="113" w:after="113" w:line="360" w:lineRule="auto"/>
        <w:ind w:left="-284"/>
        <w:jc w:val="both"/>
        <w:textAlignment w:val="baseline"/>
        <w:rPr>
          <w:sz w:val="20"/>
          <w:szCs w:val="20"/>
        </w:rPr>
      </w:pPr>
      <w:r>
        <w:rPr>
          <w:rFonts w:eastAsia="Times New Roman" w:cs="Arial"/>
          <w:b/>
          <w:bCs/>
          <w:iCs/>
          <w:sz w:val="20"/>
          <w:szCs w:val="20"/>
          <w:lang w:eastAsia="es-ES"/>
        </w:rPr>
        <w:t>Artigo 9.- Procedemento de constrinximento</w:t>
      </w:r>
    </w:p>
    <w:p w:rsidR="005E0010" w:rsidRDefault="004C24DC">
      <w:pPr>
        <w:spacing w:before="113" w:after="113" w:line="360" w:lineRule="auto"/>
        <w:ind w:left="-284"/>
        <w:jc w:val="both"/>
        <w:textAlignment w:val="baseline"/>
        <w:rPr>
          <w:sz w:val="20"/>
          <w:szCs w:val="20"/>
        </w:rPr>
      </w:pPr>
      <w:r>
        <w:rPr>
          <w:rFonts w:eastAsia="Times New Roman" w:cs="Arial"/>
          <w:sz w:val="20"/>
          <w:szCs w:val="20"/>
          <w:lang w:eastAsia="es-ES"/>
        </w:rPr>
        <w:t>As débedas por estes prezos públicos non satisfeitas en período voluntario esixiranse polo procedemento administrativo de constrinximento.</w:t>
      </w:r>
    </w:p>
    <w:p w:rsidR="005E0010" w:rsidRDefault="004C24DC">
      <w:pPr>
        <w:spacing w:before="113" w:after="113" w:line="360" w:lineRule="auto"/>
        <w:ind w:left="-284"/>
        <w:jc w:val="both"/>
        <w:textAlignment w:val="baseline"/>
        <w:rPr>
          <w:rFonts w:eastAsia="Times New Roman" w:cs="Arial"/>
          <w:b/>
          <w:sz w:val="20"/>
          <w:szCs w:val="20"/>
          <w:lang w:eastAsia="es-ES"/>
        </w:rPr>
      </w:pPr>
      <w:r>
        <w:rPr>
          <w:rFonts w:eastAsia="Times New Roman" w:cs="Arial"/>
          <w:b/>
          <w:sz w:val="20"/>
          <w:szCs w:val="20"/>
          <w:lang w:eastAsia="es-ES"/>
        </w:rPr>
        <w:t xml:space="preserve">Disposición </w:t>
      </w:r>
      <w:r>
        <w:rPr>
          <w:rFonts w:eastAsia="Times New Roman" w:cs="Arial"/>
          <w:b/>
          <w:sz w:val="20"/>
          <w:szCs w:val="20"/>
          <w:lang w:eastAsia="es-ES"/>
        </w:rPr>
        <w:t>adicional</w:t>
      </w:r>
    </w:p>
    <w:p w:rsidR="005E0010" w:rsidRDefault="004C24DC">
      <w:pPr>
        <w:spacing w:before="113" w:after="113" w:line="360" w:lineRule="auto"/>
        <w:ind w:left="-284"/>
        <w:jc w:val="both"/>
        <w:textAlignment w:val="baseline"/>
        <w:rPr>
          <w:rFonts w:eastAsia="Times New Roman"/>
          <w:iCs/>
          <w:sz w:val="20"/>
          <w:szCs w:val="20"/>
          <w:lang w:eastAsia="es-ES"/>
        </w:rPr>
      </w:pPr>
      <w:r>
        <w:rPr>
          <w:rFonts w:eastAsia="Times New Roman"/>
          <w:iCs/>
          <w:sz w:val="20"/>
          <w:szCs w:val="20"/>
          <w:lang w:eastAsia="es-ES"/>
        </w:rPr>
        <w:t>Consideraranse como opcionais ou complementarios todos aqueles servizos que non estean considerados como servizos básicos na ordenanza de acceso. No caso de que se presten polo centro, estes servizos serán a cargo da persoa usuaria e serán liquid</w:t>
      </w:r>
      <w:r>
        <w:rPr>
          <w:rFonts w:eastAsia="Times New Roman"/>
          <w:iCs/>
          <w:sz w:val="20"/>
          <w:szCs w:val="20"/>
          <w:lang w:eastAsia="es-ES"/>
        </w:rPr>
        <w:t>ados adicionalmente, segundo a relación de prezos que se exporá para o coñecemento público no taboleiro do Centro.</w:t>
      </w:r>
    </w:p>
    <w:p w:rsidR="005E0010" w:rsidRDefault="004C24DC">
      <w:pPr>
        <w:spacing w:before="113" w:after="113" w:line="360" w:lineRule="auto"/>
        <w:ind w:left="-284"/>
        <w:jc w:val="both"/>
        <w:textAlignment w:val="baseline"/>
        <w:rPr>
          <w:rFonts w:eastAsia="Times New Roman"/>
          <w:iCs/>
          <w:sz w:val="20"/>
          <w:szCs w:val="20"/>
          <w:lang w:eastAsia="es-ES"/>
        </w:rPr>
      </w:pPr>
      <w:r>
        <w:rPr>
          <w:rFonts w:eastAsia="Times New Roman" w:cs="Arial"/>
          <w:sz w:val="20"/>
          <w:szCs w:val="20"/>
          <w:lang w:eastAsia="es-ES"/>
        </w:rPr>
        <w:t xml:space="preserve">As persoas usuarias asumirán o 100% do custo destes servizos opcionais ou  complementarios que o centro poderá ofertar e que voluntariamente </w:t>
      </w:r>
      <w:r>
        <w:rPr>
          <w:rFonts w:eastAsia="Times New Roman" w:cs="Arial"/>
          <w:sz w:val="20"/>
          <w:szCs w:val="20"/>
          <w:lang w:eastAsia="es-ES"/>
        </w:rPr>
        <w:t>se contraten por parte das persoas usuarias. Non obstante, terase en conta para casos excepcionais  o recollido no artigo 44.2 do Real decreto lexislativo 2/2004, do 5 de marzo.</w:t>
      </w:r>
    </w:p>
    <w:p w:rsidR="005E0010" w:rsidRDefault="004C24DC">
      <w:pPr>
        <w:spacing w:before="113" w:after="113" w:line="360" w:lineRule="auto"/>
        <w:ind w:left="-284"/>
        <w:jc w:val="both"/>
        <w:textAlignment w:val="baseline"/>
        <w:rPr>
          <w:sz w:val="20"/>
          <w:szCs w:val="20"/>
        </w:rPr>
      </w:pPr>
      <w:r>
        <w:rPr>
          <w:rFonts w:eastAsia="Times New Roman" w:cs="Arial"/>
          <w:b/>
          <w:sz w:val="20"/>
          <w:szCs w:val="20"/>
          <w:lang w:eastAsia="es-ES"/>
        </w:rPr>
        <w:t>Disposición final</w:t>
      </w:r>
    </w:p>
    <w:p w:rsidR="005E0010" w:rsidRDefault="004C24DC">
      <w:pPr>
        <w:spacing w:before="113" w:after="113" w:line="360" w:lineRule="auto"/>
        <w:ind w:left="-284"/>
        <w:jc w:val="both"/>
        <w:textAlignment w:val="baseline"/>
        <w:rPr>
          <w:sz w:val="20"/>
          <w:szCs w:val="20"/>
        </w:rPr>
      </w:pPr>
      <w:r>
        <w:rPr>
          <w:rFonts w:eastAsia="Times New Roman" w:cs="Arial"/>
          <w:sz w:val="20"/>
          <w:szCs w:val="20"/>
          <w:lang w:eastAsia="es-ES"/>
        </w:rPr>
        <w:t xml:space="preserve">A presente ordenanza entrará en vigor de acordo co disposto </w:t>
      </w:r>
      <w:r>
        <w:rPr>
          <w:rFonts w:eastAsia="Times New Roman" w:cs="Arial"/>
          <w:sz w:val="20"/>
          <w:szCs w:val="20"/>
          <w:lang w:eastAsia="es-ES"/>
        </w:rPr>
        <w:t>no artigo 70.2 da Lei 7/1985, de 2 de abril, Reguladora das Bases do Réxime Local, permanecendo vixente ata que se acorde a súa modificación ou derrogación expresa.</w:t>
      </w:r>
    </w:p>
    <w:p w:rsidR="005E0010" w:rsidRDefault="005E0010">
      <w:pPr>
        <w:spacing w:before="113" w:after="113" w:line="360" w:lineRule="auto"/>
        <w:ind w:left="-284"/>
        <w:jc w:val="both"/>
        <w:textAlignment w:val="baseline"/>
        <w:rPr>
          <w:rFonts w:eastAsia="Times New Roman" w:cs="Arial"/>
          <w:sz w:val="20"/>
          <w:szCs w:val="20"/>
          <w:lang w:eastAsia="es-ES"/>
        </w:rPr>
      </w:pPr>
    </w:p>
    <w:p w:rsidR="005E0010" w:rsidRDefault="005E0010">
      <w:pPr>
        <w:spacing w:before="113" w:after="113" w:line="360" w:lineRule="auto"/>
        <w:ind w:left="-284"/>
        <w:jc w:val="both"/>
        <w:textAlignment w:val="baseline"/>
        <w:rPr>
          <w:rFonts w:eastAsia="Times New Roman" w:cs="Arial"/>
          <w:sz w:val="20"/>
          <w:szCs w:val="20"/>
          <w:lang w:eastAsia="es-ES"/>
        </w:rPr>
      </w:pPr>
    </w:p>
    <w:sectPr w:rsidR="005E0010">
      <w:headerReference w:type="default" r:id="rId9"/>
      <w:footerReference w:type="default" r:id="rId10"/>
      <w:pgSz w:w="11906" w:h="16838"/>
      <w:pgMar w:top="1417" w:right="1080" w:bottom="1417"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DC" w:rsidRDefault="004C24DC">
      <w:pPr>
        <w:spacing w:after="0" w:line="240" w:lineRule="auto"/>
      </w:pPr>
      <w:r>
        <w:separator/>
      </w:r>
    </w:p>
  </w:endnote>
  <w:endnote w:type="continuationSeparator" w:id="0">
    <w:p w:rsidR="004C24DC" w:rsidRDefault="004C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99670"/>
      <w:docPartObj>
        <w:docPartGallery w:val="Page Numbers (Bottom of Page)"/>
        <w:docPartUnique/>
      </w:docPartObj>
    </w:sdtPr>
    <w:sdtEndPr/>
    <w:sdtContent>
      <w:p w:rsidR="005E0010" w:rsidRDefault="004C24DC">
        <w:pPr>
          <w:pStyle w:val="Piedepgina1"/>
          <w:jc w:val="right"/>
        </w:pPr>
        <w:r>
          <w:fldChar w:fldCharType="begin"/>
        </w:r>
        <w:r>
          <w:instrText>PAGE</w:instrText>
        </w:r>
        <w:r>
          <w:fldChar w:fldCharType="separate"/>
        </w:r>
        <w:r w:rsidR="00B8179C">
          <w:rPr>
            <w:noProof/>
          </w:rPr>
          <w:t>2</w:t>
        </w:r>
        <w:r>
          <w:fldChar w:fldCharType="end"/>
        </w:r>
      </w:p>
    </w:sdtContent>
  </w:sdt>
  <w:p w:rsidR="005E0010" w:rsidRDefault="005E0010">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DC" w:rsidRDefault="004C24DC">
      <w:pPr>
        <w:spacing w:after="0" w:line="240" w:lineRule="auto"/>
      </w:pPr>
      <w:r>
        <w:separator/>
      </w:r>
    </w:p>
  </w:footnote>
  <w:footnote w:type="continuationSeparator" w:id="0">
    <w:p w:rsidR="004C24DC" w:rsidRDefault="004C2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9C" w:rsidRPr="00B8179C" w:rsidRDefault="00B8179C" w:rsidP="00B8179C">
    <w:pPr>
      <w:widowControl w:val="0"/>
      <w:overflowPunct w:val="0"/>
      <w:autoSpaceDE w:val="0"/>
      <w:autoSpaceDN w:val="0"/>
      <w:adjustRightInd w:val="0"/>
      <w:spacing w:after="0" w:line="240" w:lineRule="auto"/>
      <w:rPr>
        <w:rFonts w:ascii="Arial" w:eastAsia="Times New Roman" w:hAnsi="Arial" w:cs="Arial"/>
        <w:b/>
        <w:kern w:val="28"/>
        <w:sz w:val="36"/>
        <w:szCs w:val="36"/>
        <w:lang w:val="es-ES" w:eastAsia="es-ES"/>
      </w:rPr>
    </w:pPr>
    <w:r>
      <w:rPr>
        <w:rFonts w:ascii="Arial" w:eastAsia="Times New Roman" w:hAnsi="Arial" w:cs="Arial"/>
        <w:noProof/>
        <w:kern w:val="28"/>
        <w:sz w:val="32"/>
        <w:szCs w:val="32"/>
        <w:lang w:val="es-ES" w:eastAsia="es-ES"/>
      </w:rPr>
      <w:drawing>
        <wp:anchor distT="0" distB="0" distL="114300" distR="114300" simplePos="0" relativeHeight="251659264" behindDoc="0" locked="0" layoutInCell="1" allowOverlap="1" wp14:anchorId="00F4E87D" wp14:editId="4E87A833">
          <wp:simplePos x="0" y="0"/>
          <wp:positionH relativeFrom="column">
            <wp:posOffset>-609600</wp:posOffset>
          </wp:positionH>
          <wp:positionV relativeFrom="paragraph">
            <wp:posOffset>-24130</wp:posOffset>
          </wp:positionV>
          <wp:extent cx="523875" cy="800100"/>
          <wp:effectExtent l="0" t="0" r="0" b="0"/>
          <wp:wrapNone/>
          <wp:docPr id="4" name="Imagen 4"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79C">
      <w:rPr>
        <w:rFonts w:ascii="Arial" w:eastAsia="Times New Roman" w:hAnsi="Arial" w:cs="Arial"/>
        <w:b/>
        <w:kern w:val="28"/>
        <w:sz w:val="32"/>
        <w:szCs w:val="32"/>
        <w:lang w:val="es-ES" w:eastAsia="es-ES"/>
      </w:rPr>
      <w:t>CONCELLO DE POL</w:t>
    </w:r>
    <w:r w:rsidRPr="00B8179C">
      <w:rPr>
        <w:rFonts w:ascii="Arial" w:eastAsia="Times New Roman" w:hAnsi="Arial" w:cs="Arial"/>
        <w:b/>
        <w:kern w:val="28"/>
        <w:sz w:val="34"/>
        <w:szCs w:val="34"/>
        <w:lang w:val="es-ES" w:eastAsia="es-ES"/>
      </w:rPr>
      <w:t xml:space="preserve"> </w:t>
    </w:r>
    <w:r w:rsidRPr="00B8179C">
      <w:rPr>
        <w:rFonts w:ascii="Arial" w:eastAsia="Times New Roman" w:hAnsi="Arial" w:cs="Arial"/>
        <w:b/>
        <w:kern w:val="28"/>
        <w:sz w:val="36"/>
        <w:szCs w:val="36"/>
        <w:lang w:val="es-ES" w:eastAsia="es-ES"/>
      </w:rPr>
      <w:t xml:space="preserve"> </w:t>
    </w:r>
    <w:r w:rsidRPr="00B8179C">
      <w:rPr>
        <w:rFonts w:ascii="Arial" w:eastAsia="Times New Roman" w:hAnsi="Arial" w:cs="Arial"/>
        <w:b/>
        <w:kern w:val="28"/>
        <w:lang w:val="es-ES" w:eastAsia="es-ES"/>
      </w:rPr>
      <w:t>(LUGO)</w:t>
    </w:r>
  </w:p>
  <w:p w:rsidR="00B8179C" w:rsidRPr="00B8179C" w:rsidRDefault="00B8179C" w:rsidP="00B8179C">
    <w:pPr>
      <w:widowControl w:val="0"/>
      <w:overflowPunct w:val="0"/>
      <w:autoSpaceDE w:val="0"/>
      <w:autoSpaceDN w:val="0"/>
      <w:adjustRightInd w:val="0"/>
      <w:spacing w:after="0" w:line="240" w:lineRule="auto"/>
      <w:rPr>
        <w:rFonts w:ascii="Arial" w:eastAsia="Times New Roman" w:hAnsi="Arial" w:cs="Arial"/>
        <w:kern w:val="28"/>
        <w:sz w:val="16"/>
        <w:szCs w:val="16"/>
        <w:lang w:val="es-ES" w:eastAsia="es-ES"/>
      </w:rPr>
    </w:pPr>
    <w:r w:rsidRPr="00B8179C">
      <w:rPr>
        <w:rFonts w:ascii="Arial" w:eastAsia="Times New Roman" w:hAnsi="Arial" w:cs="Arial"/>
        <w:kern w:val="28"/>
        <w:sz w:val="16"/>
        <w:szCs w:val="16"/>
        <w:lang w:val="es-ES" w:eastAsia="es-ES"/>
      </w:rPr>
      <w:t>C.I.F. P-2704600B · R.E.L. 01270462</w:t>
    </w:r>
  </w:p>
  <w:p w:rsidR="00B8179C" w:rsidRPr="00B8179C" w:rsidRDefault="00B8179C" w:rsidP="00B8179C">
    <w:pPr>
      <w:widowControl w:val="0"/>
      <w:overflowPunct w:val="0"/>
      <w:autoSpaceDE w:val="0"/>
      <w:autoSpaceDN w:val="0"/>
      <w:adjustRightInd w:val="0"/>
      <w:spacing w:after="0" w:line="240" w:lineRule="auto"/>
      <w:rPr>
        <w:rFonts w:ascii="Arial" w:eastAsia="Times New Roman" w:hAnsi="Arial" w:cs="Arial"/>
        <w:kern w:val="28"/>
        <w:sz w:val="16"/>
        <w:szCs w:val="16"/>
        <w:lang w:val="es-ES" w:eastAsia="es-ES"/>
      </w:rPr>
    </w:pPr>
    <w:r w:rsidRPr="00B8179C">
      <w:rPr>
        <w:rFonts w:ascii="Arial" w:eastAsia="Times New Roman" w:hAnsi="Arial" w:cs="Arial"/>
        <w:noProof/>
        <w:kern w:val="28"/>
        <w:sz w:val="16"/>
        <w:szCs w:val="16"/>
        <w:lang w:val="es-MX" w:eastAsia="es-ES"/>
      </w:rPr>
      <w:pict>
        <v:line id="_x0000_s2052" style="position:absolute;z-index:251660288" from="0,4.55pt" to="462pt,4.55pt"/>
      </w:pict>
    </w:r>
  </w:p>
  <w:p w:rsidR="00B8179C" w:rsidRPr="00B8179C" w:rsidRDefault="00B8179C" w:rsidP="00B8179C">
    <w:pPr>
      <w:widowControl w:val="0"/>
      <w:overflowPunct w:val="0"/>
      <w:autoSpaceDE w:val="0"/>
      <w:autoSpaceDN w:val="0"/>
      <w:adjustRightInd w:val="0"/>
      <w:spacing w:after="0" w:line="240" w:lineRule="auto"/>
      <w:rPr>
        <w:rFonts w:ascii="Arial" w:eastAsia="Times New Roman" w:hAnsi="Arial" w:cs="Arial"/>
        <w:kern w:val="28"/>
        <w:sz w:val="16"/>
        <w:szCs w:val="16"/>
        <w:lang w:val="es-ES" w:eastAsia="es-ES"/>
      </w:rPr>
    </w:pPr>
    <w:r w:rsidRPr="00B8179C">
      <w:rPr>
        <w:rFonts w:ascii="Arial" w:eastAsia="Times New Roman" w:hAnsi="Arial" w:cs="Arial"/>
        <w:kern w:val="28"/>
        <w:sz w:val="16"/>
        <w:szCs w:val="16"/>
        <w:lang w:val="es-ES" w:eastAsia="es-ES"/>
      </w:rPr>
      <w:t xml:space="preserve">Plaza de Galicia, 1 · 27270 </w:t>
    </w:r>
    <w:proofErr w:type="spellStart"/>
    <w:r w:rsidRPr="00B8179C">
      <w:rPr>
        <w:rFonts w:ascii="Arial" w:eastAsia="Times New Roman" w:hAnsi="Arial" w:cs="Arial"/>
        <w:kern w:val="28"/>
        <w:sz w:val="16"/>
        <w:szCs w:val="16"/>
        <w:lang w:val="es-ES" w:eastAsia="es-ES"/>
      </w:rPr>
      <w:t>Mosteiro</w:t>
    </w:r>
    <w:proofErr w:type="spellEnd"/>
    <w:r w:rsidRPr="00B8179C">
      <w:rPr>
        <w:rFonts w:ascii="Arial" w:eastAsia="Times New Roman" w:hAnsi="Arial" w:cs="Arial"/>
        <w:kern w:val="28"/>
        <w:sz w:val="16"/>
        <w:szCs w:val="16"/>
        <w:lang w:val="es-ES" w:eastAsia="es-ES"/>
      </w:rPr>
      <w:t xml:space="preserve"> – Pol · Tel. 982 345 029 / 982 345 038 · Fax 982 345 330</w:t>
    </w:r>
  </w:p>
  <w:p w:rsidR="00B8179C" w:rsidRDefault="00B817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2AFE"/>
    <w:multiLevelType w:val="multilevel"/>
    <w:tmpl w:val="027CB200"/>
    <w:lvl w:ilvl="0">
      <w:start w:val="11"/>
      <w:numFmt w:val="lowerLetter"/>
      <w:lvlText w:val="%1)"/>
      <w:lvlJc w:val="left"/>
      <w:pPr>
        <w:ind w:left="720" w:hanging="360"/>
      </w:pPr>
      <w:rPr>
        <w:rFonts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eastAsia="Calibri" w:cs="Calibri"/>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F67AB2"/>
    <w:multiLevelType w:val="multilevel"/>
    <w:tmpl w:val="ADB8F5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C20C82"/>
    <w:multiLevelType w:val="multilevel"/>
    <w:tmpl w:val="16CCF6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95F1606"/>
    <w:multiLevelType w:val="multilevel"/>
    <w:tmpl w:val="3ECEE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6D3862"/>
    <w:multiLevelType w:val="multilevel"/>
    <w:tmpl w:val="7852490E"/>
    <w:lvl w:ilvl="0">
      <w:start w:val="1"/>
      <w:numFmt w:val="lowerLetter"/>
      <w:lvlText w:val="%1."/>
      <w:lvlJc w:val="left"/>
      <w:pPr>
        <w:ind w:left="633" w:hanging="360"/>
      </w:pPr>
    </w:lvl>
    <w:lvl w:ilvl="1">
      <w:start w:val="1"/>
      <w:numFmt w:val="lowerLetter"/>
      <w:lvlText w:val="%2."/>
      <w:lvlJc w:val="left"/>
      <w:pPr>
        <w:ind w:left="1353" w:hanging="360"/>
      </w:pPr>
    </w:lvl>
    <w:lvl w:ilvl="2">
      <w:start w:val="1"/>
      <w:numFmt w:val="lowerRoman"/>
      <w:lvlText w:val="%3."/>
      <w:lvlJc w:val="right"/>
      <w:pPr>
        <w:ind w:left="2073" w:hanging="180"/>
      </w:pPr>
    </w:lvl>
    <w:lvl w:ilvl="3">
      <w:start w:val="1"/>
      <w:numFmt w:val="decimal"/>
      <w:lvlText w:val="%4."/>
      <w:lvlJc w:val="left"/>
      <w:pPr>
        <w:ind w:left="2793" w:hanging="360"/>
      </w:pPr>
    </w:lvl>
    <w:lvl w:ilvl="4">
      <w:start w:val="1"/>
      <w:numFmt w:val="lowerLetter"/>
      <w:lvlText w:val="%5."/>
      <w:lvlJc w:val="left"/>
      <w:pPr>
        <w:ind w:left="3513" w:hanging="360"/>
      </w:pPr>
    </w:lvl>
    <w:lvl w:ilvl="5">
      <w:start w:val="1"/>
      <w:numFmt w:val="lowerRoman"/>
      <w:lvlText w:val="%6."/>
      <w:lvlJc w:val="right"/>
      <w:pPr>
        <w:ind w:left="4233" w:hanging="180"/>
      </w:pPr>
    </w:lvl>
    <w:lvl w:ilvl="6">
      <w:start w:val="1"/>
      <w:numFmt w:val="decimal"/>
      <w:lvlText w:val="%7."/>
      <w:lvlJc w:val="left"/>
      <w:pPr>
        <w:ind w:left="588" w:hanging="360"/>
      </w:pPr>
    </w:lvl>
    <w:lvl w:ilvl="7">
      <w:start w:val="1"/>
      <w:numFmt w:val="lowerLetter"/>
      <w:lvlText w:val="%8."/>
      <w:lvlJc w:val="left"/>
      <w:pPr>
        <w:ind w:left="5673" w:hanging="360"/>
      </w:pPr>
    </w:lvl>
    <w:lvl w:ilvl="8">
      <w:start w:val="1"/>
      <w:numFmt w:val="lowerRoman"/>
      <w:lvlText w:val="%9."/>
      <w:lvlJc w:val="right"/>
      <w:pPr>
        <w:ind w:left="6393" w:hanging="180"/>
      </w:pPr>
    </w:lvl>
  </w:abstractNum>
  <w:abstractNum w:abstractNumId="5">
    <w:nsid w:val="34932685"/>
    <w:multiLevelType w:val="multilevel"/>
    <w:tmpl w:val="C64AAF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0F05111"/>
    <w:multiLevelType w:val="multilevel"/>
    <w:tmpl w:val="8B22434C"/>
    <w:lvl w:ilvl="0">
      <w:start w:val="1"/>
      <w:numFmt w:val="lowerLetter"/>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
    <w:nsid w:val="590D1CD1"/>
    <w:multiLevelType w:val="multilevel"/>
    <w:tmpl w:val="49FA7F4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8C312CC"/>
    <w:multiLevelType w:val="multilevel"/>
    <w:tmpl w:val="C49E7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6"/>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0010"/>
    <w:rsid w:val="004C24DC"/>
    <w:rsid w:val="005E0010"/>
    <w:rsid w:val="00B8179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77"/>
    <w:pPr>
      <w:spacing w:after="200" w:line="276" w:lineRule="auto"/>
    </w:pPr>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rsid w:val="00C131C4"/>
  </w:style>
  <w:style w:type="character" w:customStyle="1" w:styleId="EncabezadoCar">
    <w:name w:val="Encabezado Car"/>
    <w:basedOn w:val="Fuentedeprrafopredeter"/>
    <w:link w:val="Encabezado1"/>
    <w:uiPriority w:val="99"/>
    <w:qFormat/>
    <w:rsid w:val="00CB4412"/>
    <w:rPr>
      <w:lang w:val="gl-ES"/>
    </w:rPr>
  </w:style>
  <w:style w:type="character" w:customStyle="1" w:styleId="PiedepginaCar">
    <w:name w:val="Pie de página Car"/>
    <w:basedOn w:val="Fuentedeprrafopredeter"/>
    <w:link w:val="Piedepgina1"/>
    <w:uiPriority w:val="99"/>
    <w:qFormat/>
    <w:rsid w:val="00CB4412"/>
    <w:rPr>
      <w:lang w:val="gl-ES"/>
    </w:rPr>
  </w:style>
  <w:style w:type="character" w:customStyle="1" w:styleId="ListLabel1">
    <w:name w:val="ListLabel 1"/>
    <w:qFormat/>
    <w:rsid w:val="00676384"/>
    <w:rPr>
      <w:sz w:val="20"/>
    </w:rPr>
  </w:style>
  <w:style w:type="character" w:customStyle="1" w:styleId="ListLabel2">
    <w:name w:val="ListLabel 2"/>
    <w:qFormat/>
    <w:rsid w:val="00676384"/>
    <w:rPr>
      <w:rFonts w:cs="Times New Roman"/>
      <w:sz w:val="20"/>
    </w:rPr>
  </w:style>
  <w:style w:type="character" w:customStyle="1" w:styleId="ListLabel3">
    <w:name w:val="ListLabel 3"/>
    <w:qFormat/>
    <w:rsid w:val="00676384"/>
    <w:rPr>
      <w:sz w:val="20"/>
    </w:rPr>
  </w:style>
  <w:style w:type="character" w:customStyle="1" w:styleId="ListLabel4">
    <w:name w:val="ListLabel 4"/>
    <w:qFormat/>
    <w:rsid w:val="00676384"/>
    <w:rPr>
      <w:sz w:val="20"/>
    </w:rPr>
  </w:style>
  <w:style w:type="character" w:customStyle="1" w:styleId="ListLabel5">
    <w:name w:val="ListLabel 5"/>
    <w:qFormat/>
    <w:rsid w:val="00676384"/>
    <w:rPr>
      <w:sz w:val="20"/>
    </w:rPr>
  </w:style>
  <w:style w:type="character" w:customStyle="1" w:styleId="ListLabel6">
    <w:name w:val="ListLabel 6"/>
    <w:qFormat/>
    <w:rsid w:val="00676384"/>
    <w:rPr>
      <w:sz w:val="20"/>
    </w:rPr>
  </w:style>
  <w:style w:type="character" w:customStyle="1" w:styleId="ListLabel7">
    <w:name w:val="ListLabel 7"/>
    <w:qFormat/>
    <w:rsid w:val="00676384"/>
    <w:rPr>
      <w:sz w:val="20"/>
    </w:rPr>
  </w:style>
  <w:style w:type="character" w:customStyle="1" w:styleId="ListLabel8">
    <w:name w:val="ListLabel 8"/>
    <w:qFormat/>
    <w:rsid w:val="00676384"/>
    <w:rPr>
      <w:sz w:val="20"/>
    </w:rPr>
  </w:style>
  <w:style w:type="character" w:customStyle="1" w:styleId="ListLabel9">
    <w:name w:val="ListLabel 9"/>
    <w:qFormat/>
    <w:rsid w:val="00676384"/>
    <w:rPr>
      <w:sz w:val="20"/>
    </w:rPr>
  </w:style>
  <w:style w:type="character" w:customStyle="1" w:styleId="ListLabel10">
    <w:name w:val="ListLabel 10"/>
    <w:qFormat/>
    <w:rsid w:val="00676384"/>
    <w:rPr>
      <w:rFonts w:eastAsia="Calibri"/>
    </w:rPr>
  </w:style>
  <w:style w:type="character" w:customStyle="1" w:styleId="ListLabel11">
    <w:name w:val="ListLabel 11"/>
    <w:qFormat/>
    <w:rsid w:val="00676384"/>
    <w:rPr>
      <w:rFonts w:eastAsia="Calibri"/>
    </w:rPr>
  </w:style>
  <w:style w:type="character" w:customStyle="1" w:styleId="ListLabel12">
    <w:name w:val="ListLabel 12"/>
    <w:qFormat/>
    <w:rsid w:val="00676384"/>
    <w:rPr>
      <w:rFonts w:cs="Calibri"/>
      <w:b w:val="0"/>
      <w:bCs w:val="0"/>
      <w:color w:val="00000A"/>
      <w:sz w:val="20"/>
      <w:szCs w:val="20"/>
      <w:lang w:val="es-ES"/>
    </w:rPr>
  </w:style>
  <w:style w:type="character" w:customStyle="1" w:styleId="ListLabel13">
    <w:name w:val="ListLabel 13"/>
    <w:qFormat/>
    <w:rsid w:val="00676384"/>
    <w:rPr>
      <w:rFonts w:cs="Calibri"/>
      <w:b w:val="0"/>
      <w:color w:val="00000A"/>
      <w:sz w:val="20"/>
      <w:szCs w:val="20"/>
      <w:lang w:val="gl-ES"/>
    </w:rPr>
  </w:style>
  <w:style w:type="character" w:customStyle="1" w:styleId="ListLabel14">
    <w:name w:val="ListLabel 14"/>
    <w:qFormat/>
    <w:rsid w:val="00676384"/>
    <w:rPr>
      <w:rFonts w:cs="Calibri"/>
      <w:b w:val="0"/>
      <w:sz w:val="20"/>
      <w:szCs w:val="20"/>
      <w:lang w:val="gl-ES"/>
    </w:rPr>
  </w:style>
  <w:style w:type="character" w:customStyle="1" w:styleId="ListLabel15">
    <w:name w:val="ListLabel 15"/>
    <w:qFormat/>
    <w:rsid w:val="00676384"/>
    <w:rPr>
      <w:rFonts w:cs="Calibri"/>
      <w:b w:val="0"/>
      <w:bCs w:val="0"/>
      <w:color w:val="00000A"/>
      <w:sz w:val="20"/>
      <w:szCs w:val="20"/>
      <w:lang w:val="es-ES"/>
    </w:rPr>
  </w:style>
  <w:style w:type="character" w:customStyle="1" w:styleId="ListLabel16">
    <w:name w:val="ListLabel 16"/>
    <w:qFormat/>
    <w:rsid w:val="00676384"/>
    <w:rPr>
      <w:rFonts w:cs="Calibri"/>
      <w:b w:val="0"/>
      <w:color w:val="00000A"/>
      <w:sz w:val="20"/>
      <w:szCs w:val="20"/>
      <w:lang w:val="gl-ES"/>
    </w:rPr>
  </w:style>
  <w:style w:type="character" w:customStyle="1" w:styleId="ListLabel17">
    <w:name w:val="ListLabel 17"/>
    <w:qFormat/>
    <w:rsid w:val="00676384"/>
    <w:rPr>
      <w:rFonts w:eastAsia="SimSun" w:cs="Calibri"/>
      <w:b w:val="0"/>
      <w:sz w:val="20"/>
      <w:szCs w:val="20"/>
      <w:lang w:val="gl-ES"/>
    </w:rPr>
  </w:style>
  <w:style w:type="character" w:customStyle="1" w:styleId="ListLabel18">
    <w:name w:val="ListLabel 18"/>
    <w:qFormat/>
    <w:rsid w:val="00676384"/>
    <w:rPr>
      <w:b/>
      <w:sz w:val="20"/>
      <w:szCs w:val="20"/>
    </w:rPr>
  </w:style>
  <w:style w:type="character" w:customStyle="1" w:styleId="ListLabel19">
    <w:name w:val="ListLabel 19"/>
    <w:qFormat/>
    <w:rsid w:val="00676384"/>
    <w:rPr>
      <w:rFonts w:cs="Calibri"/>
      <w:sz w:val="20"/>
    </w:rPr>
  </w:style>
  <w:style w:type="character" w:customStyle="1" w:styleId="ListLabel20">
    <w:name w:val="ListLabel 20"/>
    <w:qFormat/>
    <w:rsid w:val="00676384"/>
    <w:rPr>
      <w:rFonts w:cs="Calibri"/>
      <w:sz w:val="20"/>
    </w:rPr>
  </w:style>
  <w:style w:type="character" w:customStyle="1" w:styleId="ListLabel21">
    <w:name w:val="ListLabel 21"/>
    <w:qFormat/>
    <w:rsid w:val="00676384"/>
    <w:rPr>
      <w:rFonts w:cs="Calibri"/>
      <w:sz w:val="20"/>
    </w:rPr>
  </w:style>
  <w:style w:type="character" w:customStyle="1" w:styleId="ListLabel22">
    <w:name w:val="ListLabel 22"/>
    <w:qFormat/>
    <w:rsid w:val="00676384"/>
    <w:rPr>
      <w:rFonts w:cs="Calibri"/>
      <w:sz w:val="20"/>
    </w:rPr>
  </w:style>
  <w:style w:type="character" w:customStyle="1" w:styleId="ListLabel23">
    <w:name w:val="ListLabel 23"/>
    <w:qFormat/>
    <w:rsid w:val="00676384"/>
    <w:rPr>
      <w:rFonts w:cs="Calibri"/>
      <w:sz w:val="20"/>
    </w:rPr>
  </w:style>
  <w:style w:type="character" w:customStyle="1" w:styleId="ListLabel24">
    <w:name w:val="ListLabel 24"/>
    <w:qFormat/>
    <w:rsid w:val="00676384"/>
    <w:rPr>
      <w:rFonts w:cs="Calibri"/>
      <w:sz w:val="20"/>
    </w:rPr>
  </w:style>
  <w:style w:type="character" w:customStyle="1" w:styleId="ListLabel25">
    <w:name w:val="ListLabel 25"/>
    <w:qFormat/>
    <w:rsid w:val="00676384"/>
    <w:rPr>
      <w:rFonts w:cs="Calibri"/>
      <w:sz w:val="20"/>
    </w:rPr>
  </w:style>
  <w:style w:type="character" w:customStyle="1" w:styleId="ListLabel26">
    <w:name w:val="ListLabel 26"/>
    <w:qFormat/>
    <w:rsid w:val="00676384"/>
    <w:rPr>
      <w:rFonts w:cs="Calibri"/>
      <w:sz w:val="20"/>
    </w:rPr>
  </w:style>
  <w:style w:type="character" w:customStyle="1" w:styleId="ListLabel27">
    <w:name w:val="ListLabel 27"/>
    <w:qFormat/>
    <w:rsid w:val="00676384"/>
    <w:rPr>
      <w:rFonts w:eastAsia="SimSun" w:cs="Calibri"/>
      <w:sz w:val="20"/>
    </w:rPr>
  </w:style>
  <w:style w:type="character" w:customStyle="1" w:styleId="ListLabel28">
    <w:name w:val="ListLabel 28"/>
    <w:qFormat/>
    <w:rsid w:val="00676384"/>
    <w:rPr>
      <w:rFonts w:cs="Courier New"/>
    </w:rPr>
  </w:style>
  <w:style w:type="character" w:customStyle="1" w:styleId="ListLabel29">
    <w:name w:val="ListLabel 29"/>
    <w:qFormat/>
    <w:rsid w:val="00676384"/>
    <w:rPr>
      <w:rFonts w:cs="Courier New"/>
    </w:rPr>
  </w:style>
  <w:style w:type="character" w:customStyle="1" w:styleId="ListLabel30">
    <w:name w:val="ListLabel 30"/>
    <w:qFormat/>
    <w:rsid w:val="00676384"/>
    <w:rPr>
      <w:rFonts w:cs="Courier New"/>
    </w:rPr>
  </w:style>
  <w:style w:type="character" w:customStyle="1" w:styleId="ListLabel31">
    <w:name w:val="ListLabel 31"/>
    <w:qFormat/>
    <w:rsid w:val="00676384"/>
    <w:rPr>
      <w:rFonts w:cs="Calibri"/>
      <w:sz w:val="20"/>
      <w:szCs w:val="20"/>
    </w:rPr>
  </w:style>
  <w:style w:type="character" w:customStyle="1" w:styleId="ListLabel32">
    <w:name w:val="ListLabel 32"/>
    <w:qFormat/>
    <w:rsid w:val="00676384"/>
    <w:rPr>
      <w:rFonts w:cs="Calibri"/>
      <w:sz w:val="20"/>
      <w:szCs w:val="20"/>
    </w:rPr>
  </w:style>
  <w:style w:type="character" w:customStyle="1" w:styleId="ListLabel33">
    <w:name w:val="ListLabel 33"/>
    <w:qFormat/>
    <w:rsid w:val="00676384"/>
    <w:rPr>
      <w:color w:val="000000"/>
    </w:rPr>
  </w:style>
  <w:style w:type="character" w:customStyle="1" w:styleId="ListLabel34">
    <w:name w:val="ListLabel 34"/>
    <w:qFormat/>
    <w:rsid w:val="00676384"/>
    <w:rPr>
      <w:rFonts w:cs="Calibri"/>
      <w:b/>
      <w:color w:val="000000"/>
      <w:sz w:val="20"/>
    </w:rPr>
  </w:style>
  <w:style w:type="character" w:styleId="Refdecomentario">
    <w:name w:val="annotation reference"/>
    <w:basedOn w:val="Fuentedeprrafopredeter"/>
    <w:uiPriority w:val="99"/>
    <w:semiHidden/>
    <w:unhideWhenUsed/>
    <w:qFormat/>
    <w:rsid w:val="007A7E2D"/>
    <w:rPr>
      <w:sz w:val="16"/>
      <w:szCs w:val="16"/>
    </w:rPr>
  </w:style>
  <w:style w:type="character" w:customStyle="1" w:styleId="TextocomentarioCar">
    <w:name w:val="Texto comentario Car"/>
    <w:basedOn w:val="Fuentedeprrafopredeter"/>
    <w:link w:val="Textocomentario"/>
    <w:uiPriority w:val="99"/>
    <w:semiHidden/>
    <w:qFormat/>
    <w:rsid w:val="007A7E2D"/>
    <w:rPr>
      <w:sz w:val="20"/>
      <w:szCs w:val="20"/>
      <w:lang w:val="gl-ES"/>
    </w:rPr>
  </w:style>
  <w:style w:type="character" w:customStyle="1" w:styleId="AsuntodelcomentarioCar">
    <w:name w:val="Asunto del comentario Car"/>
    <w:basedOn w:val="TextocomentarioCar"/>
    <w:link w:val="Asuntodelcomentario"/>
    <w:uiPriority w:val="99"/>
    <w:semiHidden/>
    <w:qFormat/>
    <w:rsid w:val="007A7E2D"/>
    <w:rPr>
      <w:b/>
      <w:bCs/>
      <w:sz w:val="20"/>
      <w:szCs w:val="20"/>
      <w:lang w:val="gl-ES"/>
    </w:rPr>
  </w:style>
  <w:style w:type="character" w:customStyle="1" w:styleId="TextodegloboCar">
    <w:name w:val="Texto de globo Car"/>
    <w:basedOn w:val="Fuentedeprrafopredeter"/>
    <w:link w:val="Textodeglobo"/>
    <w:uiPriority w:val="99"/>
    <w:semiHidden/>
    <w:qFormat/>
    <w:rsid w:val="007A7E2D"/>
    <w:rPr>
      <w:rFonts w:ascii="Tahoma" w:hAnsi="Tahoma" w:cs="Tahoma"/>
      <w:sz w:val="16"/>
      <w:szCs w:val="16"/>
      <w:lang w:val="gl-ES"/>
    </w:rPr>
  </w:style>
  <w:style w:type="character" w:customStyle="1" w:styleId="ListLabel35">
    <w:name w:val="ListLabel 35"/>
    <w:qFormat/>
    <w:rsid w:val="000D12A9"/>
    <w:rPr>
      <w:rFonts w:cs="Calibri"/>
      <w:b w:val="0"/>
      <w:bCs w:val="0"/>
      <w:color w:val="00000A"/>
      <w:sz w:val="20"/>
      <w:szCs w:val="20"/>
      <w:lang w:val="es-ES"/>
    </w:rPr>
  </w:style>
  <w:style w:type="character" w:customStyle="1" w:styleId="ListLabel36">
    <w:name w:val="ListLabel 36"/>
    <w:qFormat/>
    <w:rsid w:val="000D12A9"/>
    <w:rPr>
      <w:rFonts w:cs="Calibri"/>
      <w:b w:val="0"/>
      <w:color w:val="00000A"/>
      <w:sz w:val="20"/>
      <w:szCs w:val="20"/>
      <w:lang w:val="gl-ES"/>
    </w:rPr>
  </w:style>
  <w:style w:type="character" w:customStyle="1" w:styleId="ListLabel37">
    <w:name w:val="ListLabel 37"/>
    <w:qFormat/>
    <w:rsid w:val="000D12A9"/>
    <w:rPr>
      <w:rFonts w:cs="Calibri"/>
      <w:b w:val="0"/>
      <w:sz w:val="20"/>
      <w:szCs w:val="20"/>
      <w:lang w:val="gl-ES"/>
    </w:rPr>
  </w:style>
  <w:style w:type="character" w:customStyle="1" w:styleId="ListLabel38">
    <w:name w:val="ListLabel 38"/>
    <w:qFormat/>
    <w:rsid w:val="000D12A9"/>
    <w:rPr>
      <w:color w:val="000000"/>
    </w:rPr>
  </w:style>
  <w:style w:type="character" w:customStyle="1" w:styleId="ListLabel39">
    <w:name w:val="ListLabel 39"/>
    <w:qFormat/>
    <w:rsid w:val="000D12A9"/>
    <w:rPr>
      <w:rFonts w:eastAsia="SimSun" w:cs="Calibri"/>
      <w:sz w:val="20"/>
      <w:szCs w:val="20"/>
      <w:lang w:val="gl-ES"/>
    </w:rPr>
  </w:style>
  <w:style w:type="character" w:customStyle="1" w:styleId="ListLabel40">
    <w:name w:val="ListLabel 40"/>
    <w:qFormat/>
    <w:rsid w:val="000D12A9"/>
    <w:rPr>
      <w:rFonts w:cs="Calibri"/>
      <w:sz w:val="20"/>
      <w:szCs w:val="20"/>
    </w:rPr>
  </w:style>
  <w:style w:type="character" w:customStyle="1" w:styleId="ListLabel41">
    <w:name w:val="ListLabel 41"/>
    <w:qFormat/>
    <w:rsid w:val="000D12A9"/>
    <w:rPr>
      <w:rFonts w:ascii="Calibri" w:eastAsia="Calibri" w:hAnsi="Calibri" w:cs="Calibri"/>
      <w:sz w:val="20"/>
      <w:szCs w:val="20"/>
    </w:rPr>
  </w:style>
  <w:style w:type="character" w:customStyle="1" w:styleId="Destacado">
    <w:name w:val="Destacado"/>
    <w:basedOn w:val="Fuentedeprrafopredeter"/>
    <w:qFormat/>
    <w:locked/>
    <w:rsid w:val="0052109C"/>
    <w:rPr>
      <w:i/>
      <w:iCs/>
    </w:rPr>
  </w:style>
  <w:style w:type="character" w:customStyle="1" w:styleId="EnlacedeInternet">
    <w:name w:val="Enlace de Internet"/>
    <w:basedOn w:val="Fuentedeprrafopredeter"/>
    <w:uiPriority w:val="99"/>
    <w:unhideWhenUsed/>
    <w:rsid w:val="00073343"/>
    <w:rPr>
      <w:color w:val="0000FF"/>
      <w:u w:val="single"/>
    </w:rPr>
  </w:style>
  <w:style w:type="character" w:customStyle="1" w:styleId="ListLabel42">
    <w:name w:val="ListLabel 42"/>
    <w:qFormat/>
    <w:rPr>
      <w:rFonts w:cs="Calibri"/>
      <w:b w:val="0"/>
      <w:bCs w:val="0"/>
      <w:color w:val="00000A"/>
      <w:sz w:val="20"/>
      <w:szCs w:val="20"/>
      <w:lang w:val="es-ES"/>
    </w:rPr>
  </w:style>
  <w:style w:type="character" w:customStyle="1" w:styleId="ListLabel43">
    <w:name w:val="ListLabel 43"/>
    <w:qFormat/>
    <w:rPr>
      <w:rFonts w:cs="Calibri"/>
      <w:b w:val="0"/>
      <w:color w:val="00000A"/>
      <w:sz w:val="20"/>
      <w:szCs w:val="20"/>
      <w:lang w:val="gl-ES"/>
    </w:rPr>
  </w:style>
  <w:style w:type="character" w:customStyle="1" w:styleId="ListLabel44">
    <w:name w:val="ListLabel 44"/>
    <w:qFormat/>
    <w:rPr>
      <w:rFonts w:cs="Calibri"/>
      <w:b w:val="0"/>
      <w:sz w:val="20"/>
      <w:szCs w:val="20"/>
      <w:lang w:val="gl-ES"/>
    </w:rPr>
  </w:style>
  <w:style w:type="character" w:customStyle="1" w:styleId="ListLabel45">
    <w:name w:val="ListLabel 45"/>
    <w:qFormat/>
    <w:rPr>
      <w:rFonts w:cs="Calibri"/>
      <w:sz w:val="20"/>
      <w:szCs w:val="20"/>
    </w:rPr>
  </w:style>
  <w:style w:type="character" w:customStyle="1" w:styleId="ListLabel46">
    <w:name w:val="ListLabel 46"/>
    <w:qFormat/>
    <w:rPr>
      <w:rFonts w:eastAsia="Calibri" w:cs="Calibri"/>
      <w:sz w:val="20"/>
      <w:szCs w:val="20"/>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eastAsia="Times New Roman" w:cs="Calibri"/>
    </w:rPr>
  </w:style>
  <w:style w:type="character" w:customStyle="1" w:styleId="ListLabel57">
    <w:name w:val="ListLabel 57"/>
    <w:qFormat/>
    <w:rPr>
      <w:rFonts w:eastAsia="Calibri"/>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paragraph" w:styleId="Ttulo">
    <w:name w:val="Title"/>
    <w:basedOn w:val="Normal"/>
    <w:next w:val="Textoindependiente"/>
    <w:qFormat/>
    <w:rsid w:val="00676384"/>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76384"/>
    <w:pPr>
      <w:spacing w:after="140" w:line="288" w:lineRule="auto"/>
    </w:pPr>
  </w:style>
  <w:style w:type="paragraph" w:styleId="Lista">
    <w:name w:val="List"/>
    <w:basedOn w:val="Textoindependiente"/>
    <w:rsid w:val="00676384"/>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rsid w:val="00676384"/>
    <w:pPr>
      <w:suppressLineNumbers/>
    </w:pPr>
    <w:rPr>
      <w:rFonts w:cs="Arial"/>
    </w:rPr>
  </w:style>
  <w:style w:type="paragraph" w:customStyle="1" w:styleId="Ttulo1">
    <w:name w:val="Título1"/>
    <w:basedOn w:val="Normal"/>
    <w:qFormat/>
    <w:rsid w:val="000D12A9"/>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rsid w:val="00676384"/>
    <w:pPr>
      <w:suppressLineNumbers/>
      <w:spacing w:before="120" w:after="120"/>
    </w:pPr>
    <w:rPr>
      <w:rFonts w:cs="Arial"/>
      <w:i/>
      <w:iCs/>
      <w:sz w:val="24"/>
      <w:szCs w:val="24"/>
    </w:rPr>
  </w:style>
  <w:style w:type="paragraph" w:styleId="Prrafodelista">
    <w:name w:val="List Paragraph"/>
    <w:basedOn w:val="Normal"/>
    <w:uiPriority w:val="34"/>
    <w:qFormat/>
    <w:rsid w:val="003F0D4C"/>
    <w:pPr>
      <w:ind w:left="720"/>
      <w:contextualSpacing/>
    </w:pPr>
  </w:style>
  <w:style w:type="paragraph" w:customStyle="1" w:styleId="Encabezado1">
    <w:name w:val="Encabezado1"/>
    <w:basedOn w:val="Normal"/>
    <w:link w:val="EncabezadoCar"/>
    <w:uiPriority w:val="99"/>
    <w:unhideWhenUsed/>
    <w:qFormat/>
    <w:rsid w:val="00CB4412"/>
    <w:pPr>
      <w:tabs>
        <w:tab w:val="center" w:pos="4252"/>
        <w:tab w:val="right" w:pos="8504"/>
      </w:tabs>
      <w:spacing w:after="0" w:line="240" w:lineRule="auto"/>
    </w:pPr>
  </w:style>
  <w:style w:type="paragraph" w:customStyle="1" w:styleId="Piedepgina1">
    <w:name w:val="Pie de página1"/>
    <w:basedOn w:val="Normal"/>
    <w:link w:val="PiedepginaCar"/>
    <w:uiPriority w:val="99"/>
    <w:unhideWhenUsed/>
    <w:qFormat/>
    <w:rsid w:val="00CB4412"/>
    <w:pPr>
      <w:tabs>
        <w:tab w:val="center" w:pos="4252"/>
        <w:tab w:val="right" w:pos="8504"/>
      </w:tabs>
      <w:spacing w:after="0" w:line="240" w:lineRule="auto"/>
    </w:pPr>
  </w:style>
  <w:style w:type="paragraph" w:customStyle="1" w:styleId="Contenidodelmarco">
    <w:name w:val="Contenido del marco"/>
    <w:basedOn w:val="Normal"/>
    <w:qFormat/>
    <w:rsid w:val="00676384"/>
  </w:style>
  <w:style w:type="paragraph" w:styleId="Textocomentario">
    <w:name w:val="annotation text"/>
    <w:basedOn w:val="Normal"/>
    <w:link w:val="TextocomentarioCar"/>
    <w:uiPriority w:val="99"/>
    <w:semiHidden/>
    <w:unhideWhenUsed/>
    <w:qFormat/>
    <w:rsid w:val="007A7E2D"/>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7A7E2D"/>
    <w:rPr>
      <w:b/>
      <w:bCs/>
    </w:rPr>
  </w:style>
  <w:style w:type="paragraph" w:styleId="Textodeglobo">
    <w:name w:val="Balloon Text"/>
    <w:basedOn w:val="Normal"/>
    <w:link w:val="TextodegloboCar"/>
    <w:uiPriority w:val="99"/>
    <w:semiHidden/>
    <w:unhideWhenUsed/>
    <w:qFormat/>
    <w:rsid w:val="007A7E2D"/>
    <w:pPr>
      <w:spacing w:after="0" w:line="240" w:lineRule="auto"/>
    </w:pPr>
    <w:rPr>
      <w:rFonts w:ascii="Tahoma" w:hAnsi="Tahoma" w:cs="Tahoma"/>
      <w:sz w:val="16"/>
      <w:szCs w:val="16"/>
    </w:rPr>
  </w:style>
  <w:style w:type="paragraph" w:customStyle="1" w:styleId="Contenidodelatabla">
    <w:name w:val="Contenido de la tabla"/>
    <w:basedOn w:val="Normal"/>
    <w:qFormat/>
    <w:rsid w:val="000D12A9"/>
  </w:style>
  <w:style w:type="paragraph" w:customStyle="1" w:styleId="Ttulodelatabla">
    <w:name w:val="Título de la tabla"/>
    <w:basedOn w:val="Contenidodelatabla"/>
    <w:qFormat/>
    <w:rsid w:val="000D12A9"/>
  </w:style>
  <w:style w:type="paragraph" w:customStyle="1" w:styleId="western">
    <w:name w:val="western"/>
    <w:basedOn w:val="Normal"/>
    <w:qFormat/>
    <w:rsid w:val="000C729D"/>
    <w:pPr>
      <w:spacing w:beforeAutospacing="1" w:after="142" w:line="288" w:lineRule="auto"/>
    </w:pPr>
    <w:rPr>
      <w:rFonts w:ascii="Liberation Serif" w:eastAsia="Times New Roman" w:hAnsi="Liberation Serif" w:cs="Liberation Serif"/>
      <w:color w:val="000000"/>
      <w:sz w:val="24"/>
      <w:szCs w:val="24"/>
      <w:lang w:val="es-ES" w:eastAsia="es-ES"/>
    </w:rPr>
  </w:style>
  <w:style w:type="paragraph" w:styleId="Piedepgina">
    <w:name w:val="footer"/>
    <w:basedOn w:val="Normal"/>
  </w:style>
  <w:style w:type="paragraph" w:styleId="Encabezado">
    <w:name w:val="header"/>
    <w:basedOn w:val="Normal"/>
    <w:link w:val="EncabezadoCar1"/>
    <w:uiPriority w:val="99"/>
    <w:unhideWhenUsed/>
    <w:rsid w:val="00B8179C"/>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B8179C"/>
    <w:rPr>
      <w:lang w:val="gl-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511E-91C3-434F-949E-BB527930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10</Pages>
  <Words>3208</Words>
  <Characters>17649</Characters>
  <Application>Microsoft Office Word</Application>
  <DocSecurity>0</DocSecurity>
  <Lines>147</Lines>
  <Paragraphs>41</Paragraphs>
  <ScaleCrop>false</ScaleCrop>
  <Company>Hewlett-Packard Company</Company>
  <LinksUpToDate>false</LinksUpToDate>
  <CharactersWithSpaces>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54</cp:revision>
  <cp:lastPrinted>2018-07-12T10:18:00Z</cp:lastPrinted>
  <dcterms:created xsi:type="dcterms:W3CDTF">2018-06-21T12:35:00Z</dcterms:created>
  <dcterms:modified xsi:type="dcterms:W3CDTF">2018-07-20T09:22:00Z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