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C2" w:rsidRDefault="00196DB1">
      <w:pPr>
        <w:spacing w:before="12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PROPOSTA DEFINITIVA DE ORDENANZA REGULADORA DO PREZO PÚBLICO POLA PRESTACIÓN DO SERVIZO DE ATENCIÓN DIÚRNA NO CENTRO DE ATENCIÓN Á PERSOAS MAIORES DO CONCELLO DE</w:t>
      </w:r>
      <w:r w:rsidR="004C686D">
        <w:rPr>
          <w:b/>
          <w:sz w:val="20"/>
          <w:szCs w:val="20"/>
        </w:rPr>
        <w:t xml:space="preserve"> POL</w:t>
      </w:r>
    </w:p>
    <w:p w:rsidR="004371C2" w:rsidRDefault="00196DB1">
      <w:pPr>
        <w:spacing w:before="120" w:after="0" w:line="360" w:lineRule="auto"/>
        <w:jc w:val="both"/>
        <w:textAlignment w:val="baseline"/>
        <w:rPr>
          <w:rFonts w:eastAsia="Times New Roman" w:cs="Arial"/>
          <w:b/>
          <w:bCs/>
          <w:iCs/>
          <w:sz w:val="20"/>
          <w:szCs w:val="20"/>
          <w:lang w:eastAsia="es-ES"/>
        </w:rPr>
      </w:pPr>
      <w:r>
        <w:rPr>
          <w:rFonts w:eastAsia="Times New Roman" w:cs="Arial"/>
          <w:b/>
          <w:bCs/>
          <w:iCs/>
          <w:sz w:val="20"/>
          <w:szCs w:val="20"/>
          <w:lang w:eastAsia="es-ES"/>
        </w:rPr>
        <w:t>Artigo 1.- Concepto.</w:t>
      </w:r>
    </w:p>
    <w:p w:rsidR="004371C2" w:rsidRDefault="00196DB1">
      <w:pPr>
        <w:spacing w:before="120" w:after="0" w:line="360" w:lineRule="auto"/>
        <w:jc w:val="both"/>
        <w:textAlignment w:val="baseline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O Concello de</w:t>
      </w:r>
      <w:r w:rsidR="004C686D">
        <w:rPr>
          <w:rFonts w:eastAsia="Times New Roman" w:cs="Arial"/>
          <w:sz w:val="20"/>
          <w:szCs w:val="20"/>
          <w:lang w:eastAsia="es-ES"/>
        </w:rPr>
        <w:t xml:space="preserve"> Pol</w:t>
      </w:r>
      <w:r>
        <w:rPr>
          <w:rFonts w:eastAsia="Times New Roman" w:cs="Arial"/>
          <w:sz w:val="20"/>
          <w:szCs w:val="20"/>
          <w:lang w:eastAsia="es-ES"/>
        </w:rPr>
        <w:t xml:space="preserve"> no exercicio das facultades concedidas </w:t>
      </w:r>
      <w:r>
        <w:rPr>
          <w:rFonts w:eastAsia="Times New Roman" w:cs="Arial"/>
          <w:sz w:val="20"/>
          <w:szCs w:val="20"/>
          <w:lang w:eastAsia="es-ES"/>
        </w:rPr>
        <w:t>polos artigos 133.2 e 142 da Constitución e polo artigo 106 da Lei 7/1985, do 2 de abril, reguladora das Bases do Réxime Local, ao abeiro do disposto polo artigo 148 en relación co artigo 41, do Real decreto lexislativo 2/2004, do 5 de marzo, texto refundi</w:t>
      </w:r>
      <w:r>
        <w:rPr>
          <w:rFonts w:eastAsia="Times New Roman" w:cs="Arial"/>
          <w:sz w:val="20"/>
          <w:szCs w:val="20"/>
          <w:lang w:eastAsia="es-ES"/>
        </w:rPr>
        <w:t>do da Lei reguladora das facendas locais (en diante TRLFL)</w:t>
      </w:r>
      <w:r>
        <w:rPr>
          <w:rFonts w:eastAsia="Times New Roman" w:cs="Arial"/>
          <w:b/>
          <w:sz w:val="20"/>
          <w:szCs w:val="20"/>
          <w:lang w:eastAsia="es-ES"/>
        </w:rPr>
        <w:t xml:space="preserve">, </w:t>
      </w:r>
      <w:r>
        <w:rPr>
          <w:rFonts w:eastAsia="Times New Roman" w:cs="Arial"/>
          <w:sz w:val="20"/>
          <w:szCs w:val="20"/>
          <w:lang w:eastAsia="es-ES"/>
        </w:rPr>
        <w:t xml:space="preserve">establece o prezo público polos servizos de asistencia e estancia no Servizo de Atención Diúrna do Centro de Atención a Persoas Maiores do Concello de </w:t>
      </w:r>
      <w:r w:rsidR="004C686D">
        <w:rPr>
          <w:rFonts w:eastAsia="Times New Roman" w:cs="Arial"/>
          <w:sz w:val="20"/>
          <w:szCs w:val="20"/>
          <w:lang w:eastAsia="es-ES"/>
        </w:rPr>
        <w:t>Pol</w:t>
      </w:r>
      <w:r>
        <w:rPr>
          <w:rFonts w:eastAsia="Times New Roman" w:cs="Arial"/>
          <w:sz w:val="20"/>
          <w:szCs w:val="20"/>
          <w:lang w:eastAsia="es-ES"/>
        </w:rPr>
        <w:t xml:space="preserve"> , que se rexerá polas disposi</w:t>
      </w:r>
      <w:r>
        <w:rPr>
          <w:rFonts w:eastAsia="Times New Roman" w:cs="Arial"/>
          <w:sz w:val="20"/>
          <w:szCs w:val="20"/>
          <w:lang w:eastAsia="es-ES"/>
        </w:rPr>
        <w:t>cións da presente ordenanza.</w:t>
      </w:r>
    </w:p>
    <w:p w:rsidR="004371C2" w:rsidRDefault="00196DB1">
      <w:pPr>
        <w:spacing w:before="120" w:after="0" w:line="360" w:lineRule="auto"/>
        <w:jc w:val="both"/>
        <w:textAlignment w:val="baseline"/>
        <w:rPr>
          <w:rFonts w:eastAsia="Times New Roman" w:cs="Arial"/>
          <w:b/>
          <w:sz w:val="20"/>
          <w:szCs w:val="20"/>
          <w:lang w:eastAsia="es-ES"/>
        </w:rPr>
      </w:pPr>
      <w:r>
        <w:rPr>
          <w:rFonts w:eastAsia="Times New Roman" w:cs="Arial"/>
          <w:b/>
          <w:sz w:val="20"/>
          <w:szCs w:val="20"/>
          <w:lang w:eastAsia="es-ES"/>
        </w:rPr>
        <w:t>Artigo 2.- Obrigado/a ao pagamento.</w:t>
      </w:r>
    </w:p>
    <w:p w:rsidR="004371C2" w:rsidRDefault="00196DB1">
      <w:pPr>
        <w:spacing w:before="120" w:after="0" w:line="360" w:lineRule="auto"/>
        <w:jc w:val="both"/>
        <w:textAlignment w:val="baseline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A participación da persoa usuaria no custo dos servizos terá a cualificación de prezo público, sendo o seu réxime xurídico o establecido na presente Ordenanza, así como no establecido polo Re</w:t>
      </w:r>
      <w:r>
        <w:rPr>
          <w:rFonts w:eastAsia="Times New Roman" w:cs="Arial"/>
          <w:sz w:val="20"/>
          <w:szCs w:val="20"/>
          <w:lang w:eastAsia="es-ES"/>
        </w:rPr>
        <w:t xml:space="preserve">al Decreto Lexislativo 2/2004 do 5 de marzo, polo que se aproba o texto refundido da Lei de Facendas Locais. </w:t>
      </w:r>
    </w:p>
    <w:p w:rsidR="004371C2" w:rsidRDefault="00196DB1">
      <w:pPr>
        <w:spacing w:before="120" w:after="0" w:line="360" w:lineRule="auto"/>
        <w:jc w:val="both"/>
        <w:textAlignment w:val="baseline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Estará obrigada a persoa usuaria ao pagamento dos prezos públicos regulados na presente, as persoas físicas que utilicen ou se beneficien dos serv</w:t>
      </w:r>
      <w:r>
        <w:rPr>
          <w:rFonts w:eastAsia="Times New Roman" w:cs="Arial"/>
          <w:sz w:val="20"/>
          <w:szCs w:val="20"/>
          <w:lang w:eastAsia="es-ES"/>
        </w:rPr>
        <w:t>izos e actividades prestadas ou realizadas no Servizo de Atención Diúrna no Centro de Atención a Maiores de</w:t>
      </w:r>
      <w:r w:rsidR="004C686D" w:rsidRPr="004C686D">
        <w:rPr>
          <w:rFonts w:eastAsia="Times New Roman" w:cs="Arial"/>
          <w:sz w:val="20"/>
          <w:szCs w:val="20"/>
          <w:lang w:eastAsia="es-ES"/>
        </w:rPr>
        <w:t xml:space="preserve"> </w:t>
      </w:r>
      <w:r w:rsidR="004C686D">
        <w:rPr>
          <w:rFonts w:eastAsia="Times New Roman" w:cs="Arial"/>
          <w:sz w:val="20"/>
          <w:szCs w:val="20"/>
          <w:lang w:eastAsia="es-ES"/>
        </w:rPr>
        <w:t>Pol</w:t>
      </w:r>
      <w:r>
        <w:rPr>
          <w:rFonts w:eastAsia="Times New Roman" w:cs="Arial"/>
          <w:sz w:val="20"/>
          <w:szCs w:val="20"/>
          <w:lang w:eastAsia="es-ES"/>
        </w:rPr>
        <w:t>, cando sexa de tracto sucesivo con execución continuada ou periódica e en todo caso, dende a data da ocupación efectiva da praza ou momento</w:t>
      </w:r>
      <w:r>
        <w:rPr>
          <w:rFonts w:eastAsia="Times New Roman" w:cs="Arial"/>
          <w:sz w:val="20"/>
          <w:szCs w:val="20"/>
          <w:lang w:eastAsia="es-ES"/>
        </w:rPr>
        <w:t xml:space="preserve"> de inicio da súa prestación, ou do día en que teña lugar a reincorporación ou alta como consecuencia dunha baixa xustificada e exenta de pagamento ou momento do inicio da súa prestación da persoa usuaria</w:t>
      </w:r>
    </w:p>
    <w:p w:rsidR="004371C2" w:rsidRDefault="00196DB1">
      <w:pPr>
        <w:spacing w:before="120" w:after="0" w:line="360" w:lineRule="auto"/>
        <w:jc w:val="both"/>
        <w:textAlignment w:val="baseline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Nos supostos de persoas con modificación da capacid</w:t>
      </w:r>
      <w:r>
        <w:rPr>
          <w:rFonts w:eastAsia="Times New Roman" w:cs="Arial"/>
          <w:sz w:val="20"/>
          <w:szCs w:val="20"/>
          <w:lang w:eastAsia="es-ES"/>
        </w:rPr>
        <w:t>ade de obrar, declarada por sentenza xudicial, o/a obrigado/a ao pagamento será o/a titora, ou representante legal, que efectuase a solicitude de ingreso, á cal deberá achegar a resolución xudicial, tanto do nomeamento da persoa titora ou representante leg</w:t>
      </w:r>
      <w:r>
        <w:rPr>
          <w:rFonts w:eastAsia="Times New Roman" w:cs="Arial"/>
          <w:sz w:val="20"/>
          <w:szCs w:val="20"/>
          <w:lang w:eastAsia="es-ES"/>
        </w:rPr>
        <w:t>al.</w:t>
      </w:r>
    </w:p>
    <w:p w:rsidR="004371C2" w:rsidRDefault="00196DB1">
      <w:pPr>
        <w:spacing w:before="120" w:after="0" w:line="360" w:lineRule="auto"/>
        <w:jc w:val="both"/>
        <w:textAlignment w:val="baseline"/>
        <w:rPr>
          <w:rFonts w:eastAsia="Times New Roman" w:cs="Arial"/>
          <w:b/>
          <w:sz w:val="20"/>
          <w:szCs w:val="20"/>
          <w:lang w:eastAsia="es-ES"/>
        </w:rPr>
      </w:pPr>
      <w:r>
        <w:rPr>
          <w:rFonts w:eastAsia="Times New Roman" w:cs="Arial"/>
          <w:b/>
          <w:sz w:val="20"/>
          <w:szCs w:val="20"/>
          <w:lang w:eastAsia="es-ES"/>
        </w:rPr>
        <w:t xml:space="preserve">Artigo 3.- Contía dos servizos </w:t>
      </w:r>
    </w:p>
    <w:p w:rsidR="004371C2" w:rsidRDefault="00196DB1">
      <w:pPr>
        <w:spacing w:before="120" w:after="0" w:line="360" w:lineRule="auto"/>
        <w:jc w:val="both"/>
        <w:textAlignment w:val="baseline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Defínense como servizos básicos os que a continuación se relacionan: manutención e dietas; limpeza e mantemento das instalación; servizos de valoración, seguimento, avaliación; apoio nas actividades da vida diaria; atenc</w:t>
      </w:r>
      <w:r>
        <w:rPr>
          <w:rFonts w:eastAsia="Times New Roman" w:cs="Arial"/>
          <w:sz w:val="20"/>
          <w:szCs w:val="20"/>
          <w:lang w:eastAsia="es-ES"/>
        </w:rPr>
        <w:t xml:space="preserve">ión sanitaria preventiva; rehabilitación funcional; estimulación cognitiva; ou calquera outro que estableza a ordenanza de acceso. Consideraranse como servizos complementarios todos aqueles servizos que non estean considerados como básicos. </w:t>
      </w:r>
    </w:p>
    <w:p w:rsidR="004371C2" w:rsidRDefault="00196DB1">
      <w:pPr>
        <w:numPr>
          <w:ilvl w:val="0"/>
          <w:numId w:val="2"/>
        </w:numPr>
        <w:spacing w:before="120" w:after="113" w:line="360" w:lineRule="auto"/>
        <w:ind w:left="0" w:hanging="283"/>
        <w:contextualSpacing/>
        <w:jc w:val="both"/>
        <w:textAlignment w:val="baseline"/>
        <w:rPr>
          <w:rFonts w:eastAsia="Times New Roman" w:cs="Calibri"/>
          <w:sz w:val="20"/>
          <w:szCs w:val="20"/>
          <w:lang w:eastAsia="es-ES"/>
        </w:rPr>
      </w:pPr>
      <w:r>
        <w:rPr>
          <w:rFonts w:eastAsia="Times New Roman" w:cs="Calibri"/>
          <w:sz w:val="20"/>
          <w:szCs w:val="20"/>
          <w:lang w:eastAsia="es-ES"/>
        </w:rPr>
        <w:t>As persoas usu</w:t>
      </w:r>
      <w:r>
        <w:rPr>
          <w:rFonts w:eastAsia="Times New Roman" w:cs="Calibri"/>
          <w:sz w:val="20"/>
          <w:szCs w:val="20"/>
          <w:lang w:eastAsia="es-ES"/>
        </w:rPr>
        <w:t>arias dos servizos ao abeiro da modalidade excepcional segundo establece a ordenanza de acceso ao servizo, achegarán o importe total do custe de referencia do mesmo, é dicir, o custe do servizo prestado tendo en conta a duración e intensidade.</w:t>
      </w:r>
    </w:p>
    <w:p w:rsidR="004371C2" w:rsidRDefault="00196DB1">
      <w:pPr>
        <w:numPr>
          <w:ilvl w:val="0"/>
          <w:numId w:val="2"/>
        </w:numPr>
        <w:spacing w:before="120" w:after="113" w:line="360" w:lineRule="auto"/>
        <w:ind w:left="0" w:hanging="283"/>
        <w:contextualSpacing/>
        <w:jc w:val="both"/>
        <w:textAlignment w:val="baseline"/>
        <w:rPr>
          <w:rFonts w:eastAsia="Times New Roman" w:cs="Calibri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lastRenderedPageBreak/>
        <w:t>Para os serv</w:t>
      </w:r>
      <w:r>
        <w:rPr>
          <w:rFonts w:eastAsia="Times New Roman" w:cs="Arial"/>
          <w:sz w:val="20"/>
          <w:szCs w:val="20"/>
          <w:lang w:eastAsia="es-ES"/>
        </w:rPr>
        <w:t>izos opcionais ou complementarios terase en conta o establecido na disposición adicional da presente ordenanza.</w:t>
      </w:r>
    </w:p>
    <w:p w:rsidR="004371C2" w:rsidRDefault="00196DB1">
      <w:pPr>
        <w:numPr>
          <w:ilvl w:val="0"/>
          <w:numId w:val="2"/>
        </w:numPr>
        <w:spacing w:before="120" w:after="113" w:line="360" w:lineRule="auto"/>
        <w:ind w:left="0" w:hanging="283"/>
        <w:contextualSpacing/>
        <w:jc w:val="both"/>
        <w:textAlignment w:val="baseline"/>
        <w:rPr>
          <w:rFonts w:eastAsia="Times New Roman" w:cs="Calibri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 xml:space="preserve">Os parámetros ou variables </w:t>
      </w:r>
      <w:proofErr w:type="spellStart"/>
      <w:r>
        <w:rPr>
          <w:rFonts w:eastAsia="Times New Roman" w:cs="Arial"/>
          <w:sz w:val="20"/>
          <w:szCs w:val="20"/>
          <w:lang w:eastAsia="es-ES"/>
        </w:rPr>
        <w:t>económico-sociais</w:t>
      </w:r>
      <w:proofErr w:type="spellEnd"/>
      <w:r>
        <w:rPr>
          <w:rFonts w:eastAsia="Times New Roman" w:cs="Arial"/>
          <w:sz w:val="20"/>
          <w:szCs w:val="20"/>
          <w:lang w:eastAsia="es-ES"/>
        </w:rPr>
        <w:t xml:space="preserve"> a aplicar en orde a determinación e liquidación do prezo público para os servizos básicos na modali</w:t>
      </w:r>
      <w:r>
        <w:rPr>
          <w:rFonts w:eastAsia="Times New Roman" w:cs="Arial"/>
          <w:sz w:val="20"/>
          <w:szCs w:val="20"/>
          <w:lang w:eastAsia="es-ES"/>
        </w:rPr>
        <w:t>dade ordinaria son:</w:t>
      </w:r>
    </w:p>
    <w:p w:rsidR="004371C2" w:rsidRDefault="00196DB1">
      <w:pPr>
        <w:numPr>
          <w:ilvl w:val="0"/>
          <w:numId w:val="3"/>
        </w:numPr>
        <w:spacing w:before="120" w:after="113" w:line="360" w:lineRule="auto"/>
        <w:ind w:left="567" w:hanging="227"/>
        <w:contextualSpacing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es-ES"/>
        </w:rPr>
        <w:t>Custe de referencia do servizo establecido.</w:t>
      </w:r>
    </w:p>
    <w:p w:rsidR="004371C2" w:rsidRDefault="00196DB1">
      <w:pPr>
        <w:numPr>
          <w:ilvl w:val="0"/>
          <w:numId w:val="3"/>
        </w:numPr>
        <w:spacing w:before="120" w:after="113" w:line="360" w:lineRule="auto"/>
        <w:ind w:left="567" w:hanging="227"/>
        <w:contextualSpacing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es-ES"/>
        </w:rPr>
        <w:t>Para os servizos básicos na modalidade de acceso ordinaria regulada na oportuna ordenanza de acceso ao mesmo, terase en conta:</w:t>
      </w:r>
    </w:p>
    <w:p w:rsidR="004371C2" w:rsidRDefault="00196DB1">
      <w:pPr>
        <w:numPr>
          <w:ilvl w:val="2"/>
          <w:numId w:val="3"/>
        </w:numPr>
        <w:spacing w:before="120" w:after="113" w:line="360" w:lineRule="auto"/>
        <w:ind w:left="1304" w:hanging="227"/>
        <w:contextualSpacing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es-ES"/>
        </w:rPr>
        <w:t>A capacidade económica da persoa usuaria.</w:t>
      </w:r>
    </w:p>
    <w:p w:rsidR="004371C2" w:rsidRDefault="00196DB1">
      <w:pPr>
        <w:numPr>
          <w:ilvl w:val="2"/>
          <w:numId w:val="3"/>
        </w:numPr>
        <w:spacing w:before="120" w:after="113" w:line="360" w:lineRule="auto"/>
        <w:ind w:left="1304" w:hanging="227"/>
        <w:contextualSpacing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es-ES"/>
        </w:rPr>
        <w:t>Intensidade do uso do s</w:t>
      </w:r>
      <w:r>
        <w:rPr>
          <w:rFonts w:eastAsia="Times New Roman" w:cs="Arial"/>
          <w:sz w:val="20"/>
          <w:szCs w:val="20"/>
          <w:lang w:eastAsia="es-ES"/>
        </w:rPr>
        <w:t>ervizo</w:t>
      </w:r>
    </w:p>
    <w:p w:rsidR="004371C2" w:rsidRDefault="00196DB1">
      <w:pPr>
        <w:numPr>
          <w:ilvl w:val="2"/>
          <w:numId w:val="3"/>
        </w:numPr>
        <w:spacing w:before="120" w:after="113" w:line="360" w:lineRule="auto"/>
        <w:ind w:left="1304" w:hanging="227"/>
        <w:contextualSpacing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es-ES"/>
        </w:rPr>
        <w:t>O mínimo vital.</w:t>
      </w:r>
    </w:p>
    <w:p w:rsidR="004371C2" w:rsidRDefault="00196DB1">
      <w:pPr>
        <w:pStyle w:val="Prrafodelista"/>
        <w:numPr>
          <w:ilvl w:val="0"/>
          <w:numId w:val="3"/>
        </w:numPr>
        <w:spacing w:before="113" w:after="113" w:line="360" w:lineRule="auto"/>
        <w:jc w:val="both"/>
        <w:textAlignment w:val="baseline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 xml:space="preserve">Non obstante terase en conta  o recollido no artigo 44.2 do Real decreto lexislativo 2/2004, do 5 de marzo, no cal se establece que en atención ás razóns socias que teñen lugar, poderase fixar unha participación reducida no custo do servizo.  </w:t>
      </w:r>
    </w:p>
    <w:p w:rsidR="004371C2" w:rsidRDefault="004371C2">
      <w:pPr>
        <w:spacing w:before="120" w:after="113" w:line="360" w:lineRule="auto"/>
        <w:ind w:left="1077"/>
        <w:contextualSpacing/>
        <w:jc w:val="both"/>
        <w:textAlignment w:val="baseline"/>
        <w:rPr>
          <w:sz w:val="20"/>
          <w:szCs w:val="20"/>
        </w:rPr>
      </w:pPr>
    </w:p>
    <w:p w:rsidR="004371C2" w:rsidRDefault="00196DB1">
      <w:pPr>
        <w:spacing w:before="120" w:after="113" w:line="360" w:lineRule="auto"/>
        <w:contextualSpacing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es-ES"/>
        </w:rPr>
        <w:t>Tendo en co</w:t>
      </w:r>
      <w:r>
        <w:rPr>
          <w:rFonts w:eastAsia="Times New Roman" w:cs="Arial"/>
          <w:sz w:val="20"/>
          <w:szCs w:val="20"/>
          <w:lang w:eastAsia="es-ES"/>
        </w:rPr>
        <w:t>nta o anterior, o custo de referencia do servizo establécese en función dos seguintes bloques de atención:</w:t>
      </w:r>
    </w:p>
    <w:p w:rsidR="004371C2" w:rsidRDefault="004371C2">
      <w:pPr>
        <w:spacing w:before="120" w:after="113" w:line="360" w:lineRule="auto"/>
        <w:ind w:left="-142"/>
        <w:contextualSpacing/>
        <w:jc w:val="both"/>
        <w:textAlignment w:val="baseline"/>
        <w:rPr>
          <w:sz w:val="20"/>
          <w:szCs w:val="20"/>
        </w:rPr>
      </w:pPr>
    </w:p>
    <w:tbl>
      <w:tblPr>
        <w:tblStyle w:val="Cuadrculaclara-nfasis4"/>
        <w:tblW w:w="8643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517"/>
        <w:gridCol w:w="1701"/>
        <w:gridCol w:w="1544"/>
        <w:gridCol w:w="582"/>
        <w:gridCol w:w="2299"/>
      </w:tblGrid>
      <w:tr w:rsidR="004371C2" w:rsidTr="00437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tcBorders>
              <w:bottom w:val="single" w:sz="18" w:space="0" w:color="8064A2"/>
            </w:tcBorders>
            <w:shd w:val="clear" w:color="auto" w:fill="auto"/>
            <w:tcMar>
              <w:left w:w="107" w:type="dxa"/>
            </w:tcMar>
          </w:tcPr>
          <w:p w:rsidR="004371C2" w:rsidRDefault="00196DB1">
            <w:pPr>
              <w:spacing w:after="0" w:line="360" w:lineRule="auto"/>
              <w:contextualSpacing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BLOQUE DE ATENCIÓN</w:t>
            </w:r>
          </w:p>
        </w:tc>
        <w:tc>
          <w:tcPr>
            <w:tcW w:w="3245" w:type="dxa"/>
            <w:gridSpan w:val="2"/>
            <w:tcBorders>
              <w:bottom w:val="single" w:sz="18" w:space="0" w:color="8064A2"/>
            </w:tcBorders>
            <w:shd w:val="clear" w:color="auto" w:fill="auto"/>
            <w:tcMar>
              <w:left w:w="107" w:type="dxa"/>
            </w:tcMar>
          </w:tcPr>
          <w:p w:rsidR="004371C2" w:rsidRDefault="00196DB1">
            <w:pPr>
              <w:spacing w:after="0" w:line="360" w:lineRule="auto"/>
              <w:contextualSpacing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SERVIZOS BÁSICOS QUE CONTEMPLA</w:t>
            </w:r>
          </w:p>
        </w:tc>
        <w:tc>
          <w:tcPr>
            <w:tcW w:w="2881" w:type="dxa"/>
            <w:gridSpan w:val="2"/>
            <w:tcBorders>
              <w:bottom w:val="single" w:sz="18" w:space="0" w:color="8064A2"/>
            </w:tcBorders>
            <w:shd w:val="clear" w:color="auto" w:fill="auto"/>
            <w:tcMar>
              <w:left w:w="107" w:type="dxa"/>
            </w:tcMar>
          </w:tcPr>
          <w:p w:rsidR="004371C2" w:rsidRDefault="00196DB1">
            <w:pPr>
              <w:spacing w:after="0" w:line="360" w:lineRule="auto"/>
              <w:contextualSpacing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PREZO DO SERVIZO</w:t>
            </w:r>
          </w:p>
        </w:tc>
      </w:tr>
      <w:tr w:rsidR="004371C2" w:rsidTr="0043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tcMar>
              <w:left w:w="107" w:type="dxa"/>
            </w:tcMar>
            <w:vAlign w:val="center"/>
          </w:tcPr>
          <w:p w:rsidR="004371C2" w:rsidRDefault="00196DB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Bloque 1</w:t>
            </w:r>
          </w:p>
        </w:tc>
        <w:tc>
          <w:tcPr>
            <w:tcW w:w="3245" w:type="dxa"/>
            <w:gridSpan w:val="2"/>
            <w:tcBorders>
              <w:bottom w:val="single" w:sz="12" w:space="0" w:color="5F497A"/>
            </w:tcBorders>
            <w:tcMar>
              <w:left w:w="107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Xornada mínima 8 horas diarias</w:t>
            </w:r>
          </w:p>
          <w:p w:rsidR="004371C2" w:rsidRDefault="00196DB1">
            <w:pPr>
              <w:spacing w:before="120" w:after="0" w:line="240" w:lineRule="auto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 comida principal</w:t>
            </w:r>
          </w:p>
          <w:p w:rsidR="004371C2" w:rsidRDefault="00196DB1">
            <w:pPr>
              <w:spacing w:before="120" w:after="0" w:line="240" w:lineRule="auto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2 comidas secundarias</w:t>
            </w:r>
            <w:r>
              <w:rPr>
                <w:rStyle w:val="Ancladenotaalpie"/>
                <w:rFonts w:eastAsia="Times New Roman" w:cs="Arial"/>
                <w:sz w:val="20"/>
                <w:szCs w:val="20"/>
                <w:lang w:eastAsia="es-ES"/>
              </w:rPr>
              <w:footnoteReference w:id="1"/>
            </w:r>
          </w:p>
        </w:tc>
        <w:tc>
          <w:tcPr>
            <w:tcW w:w="2881" w:type="dxa"/>
            <w:gridSpan w:val="2"/>
            <w:tcBorders>
              <w:bottom w:val="single" w:sz="12" w:space="0" w:color="5F497A"/>
            </w:tcBorders>
            <w:tcMar>
              <w:left w:w="107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550 €/mes</w:t>
            </w:r>
          </w:p>
        </w:tc>
      </w:tr>
      <w:tr w:rsidR="004371C2" w:rsidTr="00437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tcBorders>
              <w:top w:val="single" w:sz="12" w:space="0" w:color="5F497A"/>
            </w:tcBorders>
            <w:shd w:val="clear" w:color="auto" w:fill="auto"/>
            <w:tcMar>
              <w:left w:w="107" w:type="dxa"/>
            </w:tcMar>
            <w:vAlign w:val="center"/>
          </w:tcPr>
          <w:p w:rsidR="004371C2" w:rsidRDefault="00196DB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Bloque 2</w:t>
            </w:r>
          </w:p>
        </w:tc>
        <w:tc>
          <w:tcPr>
            <w:tcW w:w="3245" w:type="dxa"/>
            <w:gridSpan w:val="2"/>
            <w:tcBorders>
              <w:top w:val="single" w:sz="12" w:space="0" w:color="5F497A"/>
            </w:tcBorders>
            <w:shd w:val="clear" w:color="auto" w:fill="auto"/>
            <w:tcMar>
              <w:left w:w="107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Xornada de ata 4 horas diarias</w:t>
            </w:r>
          </w:p>
          <w:p w:rsidR="004371C2" w:rsidRDefault="00196DB1">
            <w:pPr>
              <w:spacing w:before="120" w:after="0" w:line="240" w:lineRule="auto"/>
              <w:contextualSpacing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Sen comidas</w:t>
            </w:r>
          </w:p>
        </w:tc>
        <w:tc>
          <w:tcPr>
            <w:tcW w:w="2881" w:type="dxa"/>
            <w:gridSpan w:val="2"/>
            <w:tcBorders>
              <w:top w:val="single" w:sz="12" w:space="0" w:color="5F497A"/>
            </w:tcBorders>
            <w:shd w:val="clear" w:color="auto" w:fill="auto"/>
            <w:tcMar>
              <w:left w:w="107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220 €/mes</w:t>
            </w:r>
          </w:p>
        </w:tc>
      </w:tr>
      <w:tr w:rsidR="004371C2" w:rsidTr="0043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3" w:type="dxa"/>
            <w:gridSpan w:val="5"/>
            <w:tcBorders>
              <w:top w:val="single" w:sz="12" w:space="0" w:color="5F497A"/>
            </w:tcBorders>
            <w:tcMar>
              <w:left w:w="107" w:type="dxa"/>
            </w:tcMar>
            <w:vAlign w:val="center"/>
          </w:tcPr>
          <w:p w:rsidR="004371C2" w:rsidRDefault="00196DB1">
            <w:pPr>
              <w:spacing w:before="120" w:after="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Bloque 3. (intensidade inferior a 5 días/semana)</w:t>
            </w:r>
          </w:p>
        </w:tc>
      </w:tr>
      <w:tr w:rsidR="004371C2" w:rsidTr="00437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gridSpan w:val="2"/>
            <w:vMerge w:val="restart"/>
            <w:shd w:val="clear" w:color="auto" w:fill="auto"/>
            <w:tcMar>
              <w:left w:w="107" w:type="dxa"/>
            </w:tcMar>
            <w:vAlign w:val="center"/>
          </w:tcPr>
          <w:p w:rsidR="004371C2" w:rsidRDefault="00196DB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="Arial"/>
                <w:b w:val="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 w:val="0"/>
                <w:sz w:val="20"/>
                <w:szCs w:val="20"/>
                <w:lang w:eastAsia="es-ES"/>
              </w:rPr>
              <w:t>Xornada mínima 8 horas diarias</w:t>
            </w:r>
          </w:p>
          <w:p w:rsidR="004371C2" w:rsidRDefault="00196DB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="Arial"/>
                <w:b w:val="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 w:val="0"/>
                <w:sz w:val="20"/>
                <w:szCs w:val="20"/>
                <w:lang w:eastAsia="es-ES"/>
              </w:rPr>
              <w:t>1 comida principal</w:t>
            </w:r>
          </w:p>
          <w:p w:rsidR="004371C2" w:rsidRDefault="00196DB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 w:val="0"/>
                <w:sz w:val="20"/>
                <w:szCs w:val="20"/>
                <w:lang w:eastAsia="es-ES"/>
              </w:rPr>
              <w:t>2 comidas secundarias</w:t>
            </w:r>
          </w:p>
        </w:tc>
        <w:tc>
          <w:tcPr>
            <w:tcW w:w="2126" w:type="dxa"/>
            <w:gridSpan w:val="2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tcMar>
              <w:left w:w="107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 día/semana</w:t>
            </w:r>
          </w:p>
        </w:tc>
        <w:tc>
          <w:tcPr>
            <w:tcW w:w="2299" w:type="dxa"/>
            <w:tcBorders>
              <w:left w:val="single" w:sz="4" w:space="0" w:color="5F497A"/>
            </w:tcBorders>
            <w:shd w:val="clear" w:color="auto" w:fill="auto"/>
            <w:tcMar>
              <w:left w:w="112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110 €/mes</w:t>
            </w:r>
          </w:p>
        </w:tc>
      </w:tr>
      <w:tr w:rsidR="004371C2" w:rsidTr="0043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gridSpan w:val="2"/>
            <w:vMerge/>
            <w:tcMar>
              <w:left w:w="107" w:type="dxa"/>
            </w:tcMar>
            <w:vAlign w:val="center"/>
          </w:tcPr>
          <w:p w:rsidR="004371C2" w:rsidRDefault="004371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tcMar>
              <w:left w:w="107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2 día/semana</w:t>
            </w:r>
          </w:p>
        </w:tc>
        <w:tc>
          <w:tcPr>
            <w:tcW w:w="2299" w:type="dxa"/>
            <w:tcBorders>
              <w:left w:val="single" w:sz="4" w:space="0" w:color="5F497A"/>
              <w:bottom w:val="single" w:sz="4" w:space="0" w:color="5F497A"/>
            </w:tcBorders>
            <w:tcMar>
              <w:left w:w="112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220 €/mes</w:t>
            </w:r>
          </w:p>
        </w:tc>
      </w:tr>
      <w:tr w:rsidR="004371C2" w:rsidTr="00437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gridSpan w:val="2"/>
            <w:vMerge/>
            <w:shd w:val="clear" w:color="auto" w:fill="auto"/>
            <w:tcMar>
              <w:left w:w="107" w:type="dxa"/>
            </w:tcMar>
            <w:vAlign w:val="center"/>
          </w:tcPr>
          <w:p w:rsidR="004371C2" w:rsidRDefault="004371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tcMar>
              <w:left w:w="107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 xml:space="preserve">3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día/semana</w:t>
            </w:r>
          </w:p>
        </w:tc>
        <w:tc>
          <w:tcPr>
            <w:tcW w:w="2299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</w:tcBorders>
            <w:shd w:val="clear" w:color="auto" w:fill="auto"/>
            <w:tcMar>
              <w:left w:w="112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330 €/mes</w:t>
            </w:r>
          </w:p>
        </w:tc>
      </w:tr>
      <w:tr w:rsidR="004371C2" w:rsidTr="0043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gridSpan w:val="2"/>
            <w:vMerge/>
            <w:tcMar>
              <w:left w:w="107" w:type="dxa"/>
            </w:tcMar>
            <w:vAlign w:val="center"/>
          </w:tcPr>
          <w:p w:rsidR="004371C2" w:rsidRDefault="004371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F497A"/>
              <w:bottom w:val="single" w:sz="12" w:space="0" w:color="5F497A"/>
              <w:right w:val="single" w:sz="4" w:space="0" w:color="5F497A"/>
            </w:tcBorders>
            <w:tcMar>
              <w:left w:w="107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4 día/semana</w:t>
            </w:r>
          </w:p>
        </w:tc>
        <w:tc>
          <w:tcPr>
            <w:tcW w:w="2299" w:type="dxa"/>
            <w:tcBorders>
              <w:top w:val="single" w:sz="4" w:space="0" w:color="5F497A"/>
              <w:left w:val="single" w:sz="4" w:space="0" w:color="5F497A"/>
              <w:bottom w:val="single" w:sz="12" w:space="0" w:color="5F497A"/>
            </w:tcBorders>
            <w:tcMar>
              <w:left w:w="112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440 €/mes</w:t>
            </w:r>
          </w:p>
        </w:tc>
      </w:tr>
      <w:tr w:rsidR="004371C2" w:rsidTr="00437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gridSpan w:val="2"/>
            <w:vMerge w:val="restart"/>
            <w:tcBorders>
              <w:top w:val="single" w:sz="12" w:space="0" w:color="5F497A"/>
            </w:tcBorders>
            <w:shd w:val="clear" w:color="auto" w:fill="auto"/>
            <w:tcMar>
              <w:left w:w="107" w:type="dxa"/>
            </w:tcMar>
            <w:vAlign w:val="center"/>
          </w:tcPr>
          <w:p w:rsidR="004371C2" w:rsidRDefault="00196DB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="Arial"/>
                <w:b w:val="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 w:val="0"/>
                <w:sz w:val="20"/>
                <w:szCs w:val="20"/>
                <w:lang w:eastAsia="es-ES"/>
              </w:rPr>
              <w:t xml:space="preserve">Xornada de ata 4 horas diarias. </w:t>
            </w:r>
          </w:p>
          <w:p w:rsidR="004371C2" w:rsidRDefault="00196DB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 w:val="0"/>
                <w:sz w:val="20"/>
                <w:szCs w:val="20"/>
                <w:lang w:eastAsia="es-ES"/>
              </w:rPr>
              <w:t>Sen comidas</w:t>
            </w:r>
          </w:p>
        </w:tc>
        <w:tc>
          <w:tcPr>
            <w:tcW w:w="2126" w:type="dxa"/>
            <w:gridSpan w:val="2"/>
            <w:tcBorders>
              <w:top w:val="single" w:sz="12" w:space="0" w:color="5F497A"/>
              <w:right w:val="single" w:sz="4" w:space="0" w:color="5F497A"/>
            </w:tcBorders>
            <w:shd w:val="clear" w:color="auto" w:fill="auto"/>
            <w:tcMar>
              <w:left w:w="107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 día/semana</w:t>
            </w:r>
          </w:p>
        </w:tc>
        <w:tc>
          <w:tcPr>
            <w:tcW w:w="2299" w:type="dxa"/>
            <w:tcBorders>
              <w:top w:val="single" w:sz="12" w:space="0" w:color="5F497A"/>
              <w:left w:val="single" w:sz="4" w:space="0" w:color="5F497A"/>
            </w:tcBorders>
            <w:shd w:val="clear" w:color="auto" w:fill="auto"/>
            <w:tcMar>
              <w:left w:w="112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44 €/mes</w:t>
            </w:r>
          </w:p>
        </w:tc>
      </w:tr>
      <w:tr w:rsidR="004371C2" w:rsidTr="0043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gridSpan w:val="2"/>
            <w:vMerge/>
            <w:tcMar>
              <w:left w:w="107" w:type="dxa"/>
            </w:tcMar>
            <w:vAlign w:val="center"/>
          </w:tcPr>
          <w:p w:rsidR="004371C2" w:rsidRDefault="004371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5F497A"/>
            </w:tcBorders>
            <w:tcMar>
              <w:left w:w="107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2 día/semana</w:t>
            </w:r>
          </w:p>
        </w:tc>
        <w:tc>
          <w:tcPr>
            <w:tcW w:w="2299" w:type="dxa"/>
            <w:tcBorders>
              <w:left w:val="single" w:sz="4" w:space="0" w:color="5F497A"/>
            </w:tcBorders>
            <w:tcMar>
              <w:left w:w="112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88 €/mes</w:t>
            </w:r>
          </w:p>
        </w:tc>
      </w:tr>
      <w:tr w:rsidR="004371C2" w:rsidTr="00437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gridSpan w:val="2"/>
            <w:vMerge/>
            <w:shd w:val="clear" w:color="auto" w:fill="auto"/>
            <w:tcMar>
              <w:left w:w="107" w:type="dxa"/>
            </w:tcMar>
            <w:vAlign w:val="center"/>
          </w:tcPr>
          <w:p w:rsidR="004371C2" w:rsidRDefault="004371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5F497A"/>
            </w:tcBorders>
            <w:shd w:val="clear" w:color="auto" w:fill="auto"/>
            <w:tcMar>
              <w:left w:w="107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3 día/semana</w:t>
            </w:r>
          </w:p>
        </w:tc>
        <w:tc>
          <w:tcPr>
            <w:tcW w:w="2299" w:type="dxa"/>
            <w:tcBorders>
              <w:left w:val="single" w:sz="4" w:space="0" w:color="5F497A"/>
            </w:tcBorders>
            <w:shd w:val="clear" w:color="auto" w:fill="auto"/>
            <w:tcMar>
              <w:left w:w="112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132 €/mes</w:t>
            </w:r>
          </w:p>
        </w:tc>
      </w:tr>
      <w:tr w:rsidR="004371C2" w:rsidTr="0043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gridSpan w:val="2"/>
            <w:vMerge/>
            <w:tcMar>
              <w:left w:w="107" w:type="dxa"/>
            </w:tcMar>
            <w:vAlign w:val="center"/>
          </w:tcPr>
          <w:p w:rsidR="004371C2" w:rsidRDefault="004371C2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5F497A"/>
            </w:tcBorders>
            <w:tcMar>
              <w:left w:w="107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4 día/semana</w:t>
            </w:r>
          </w:p>
        </w:tc>
        <w:tc>
          <w:tcPr>
            <w:tcW w:w="2299" w:type="dxa"/>
            <w:tcBorders>
              <w:left w:val="single" w:sz="4" w:space="0" w:color="5F497A"/>
            </w:tcBorders>
            <w:tcMar>
              <w:left w:w="112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176 €/mes</w:t>
            </w:r>
          </w:p>
        </w:tc>
      </w:tr>
    </w:tbl>
    <w:p w:rsidR="004371C2" w:rsidRDefault="004371C2">
      <w:pPr>
        <w:spacing w:before="120" w:after="113" w:line="360" w:lineRule="auto"/>
        <w:ind w:left="-142"/>
        <w:contextualSpacing/>
        <w:jc w:val="both"/>
        <w:textAlignment w:val="baseline"/>
        <w:rPr>
          <w:sz w:val="20"/>
          <w:szCs w:val="20"/>
        </w:rPr>
      </w:pPr>
    </w:p>
    <w:p w:rsidR="004371C2" w:rsidRDefault="00196DB1">
      <w:pPr>
        <w:spacing w:before="120" w:after="113" w:line="360" w:lineRule="auto"/>
        <w:ind w:left="-142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Respecto do </w:t>
      </w:r>
      <w:r>
        <w:rPr>
          <w:b/>
          <w:sz w:val="20"/>
          <w:szCs w:val="20"/>
        </w:rPr>
        <w:t>Bloque 2</w:t>
      </w:r>
      <w:r>
        <w:rPr>
          <w:sz w:val="20"/>
          <w:szCs w:val="20"/>
        </w:rPr>
        <w:t xml:space="preserve"> de atención, poderase incrementar a intensidade respectos aos servizos básicos, sumándoselle ao prezo público o seguinte:</w:t>
      </w:r>
    </w:p>
    <w:tbl>
      <w:tblPr>
        <w:tblStyle w:val="Cuadrculaclara-nfasis4"/>
        <w:tblW w:w="8645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763"/>
        <w:gridCol w:w="2882"/>
      </w:tblGrid>
      <w:tr w:rsidR="004371C2" w:rsidTr="00437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2" w:type="dxa"/>
            <w:tcBorders>
              <w:bottom w:val="single" w:sz="18" w:space="0" w:color="8064A2"/>
            </w:tcBorders>
            <w:shd w:val="clear" w:color="auto" w:fill="auto"/>
            <w:tcMar>
              <w:left w:w="107" w:type="dxa"/>
            </w:tcMar>
          </w:tcPr>
          <w:p w:rsidR="004371C2" w:rsidRDefault="00196DB1">
            <w:pPr>
              <w:spacing w:after="0" w:line="360" w:lineRule="auto"/>
              <w:contextualSpacing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SERVIZOS BÁSICOS PERIÓDICOS A MAIORES</w:t>
            </w:r>
          </w:p>
        </w:tc>
        <w:tc>
          <w:tcPr>
            <w:tcW w:w="2882" w:type="dxa"/>
            <w:tcBorders>
              <w:bottom w:val="single" w:sz="18" w:space="0" w:color="8064A2"/>
            </w:tcBorders>
            <w:shd w:val="clear" w:color="auto" w:fill="auto"/>
            <w:tcMar>
              <w:left w:w="107" w:type="dxa"/>
            </w:tcMar>
          </w:tcPr>
          <w:p w:rsidR="004371C2" w:rsidRDefault="00196DB1">
            <w:pPr>
              <w:spacing w:after="0" w:line="360" w:lineRule="auto"/>
              <w:contextualSpacing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PREZO DO SERVIZO</w:t>
            </w:r>
          </w:p>
        </w:tc>
      </w:tr>
      <w:tr w:rsidR="004371C2" w:rsidTr="0043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2" w:type="dxa"/>
            <w:tcMar>
              <w:left w:w="107" w:type="dxa"/>
            </w:tcMar>
            <w:vAlign w:val="center"/>
          </w:tcPr>
          <w:p w:rsidR="004371C2" w:rsidRDefault="00196DB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="Arial"/>
                <w:b w:val="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 w:val="0"/>
                <w:sz w:val="20"/>
                <w:szCs w:val="20"/>
                <w:lang w:eastAsia="es-ES"/>
              </w:rPr>
              <w:t>Comida principal</w:t>
            </w:r>
          </w:p>
        </w:tc>
        <w:tc>
          <w:tcPr>
            <w:tcW w:w="2882" w:type="dxa"/>
            <w:tcMar>
              <w:left w:w="107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89 €/mes</w:t>
            </w:r>
          </w:p>
        </w:tc>
      </w:tr>
      <w:tr w:rsidR="004371C2" w:rsidTr="00437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2" w:type="dxa"/>
            <w:shd w:val="clear" w:color="auto" w:fill="auto"/>
            <w:tcMar>
              <w:left w:w="107" w:type="dxa"/>
            </w:tcMar>
            <w:vAlign w:val="center"/>
          </w:tcPr>
          <w:p w:rsidR="004371C2" w:rsidRDefault="00196DB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="Arial"/>
                <w:b w:val="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 w:val="0"/>
                <w:sz w:val="20"/>
                <w:szCs w:val="20"/>
                <w:lang w:eastAsia="es-ES"/>
              </w:rPr>
              <w:lastRenderedPageBreak/>
              <w:t>Comida secundaria</w:t>
            </w:r>
          </w:p>
        </w:tc>
        <w:tc>
          <w:tcPr>
            <w:tcW w:w="2882" w:type="dxa"/>
            <w:shd w:val="clear" w:color="auto" w:fill="auto"/>
            <w:tcMar>
              <w:left w:w="107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44€/mes</w:t>
            </w:r>
          </w:p>
        </w:tc>
      </w:tr>
      <w:tr w:rsidR="004371C2" w:rsidTr="0043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2" w:type="dxa"/>
            <w:tcMar>
              <w:left w:w="107" w:type="dxa"/>
            </w:tcMar>
            <w:vAlign w:val="center"/>
          </w:tcPr>
          <w:p w:rsidR="004371C2" w:rsidRDefault="00196DB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="Arial"/>
                <w:b w:val="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 w:val="0"/>
                <w:sz w:val="20"/>
                <w:szCs w:val="20"/>
                <w:lang w:eastAsia="es-ES"/>
              </w:rPr>
              <w:t xml:space="preserve">Horas de atención, ata </w:t>
            </w:r>
            <w:r>
              <w:rPr>
                <w:rFonts w:eastAsia="Times New Roman" w:cs="Arial"/>
                <w:b w:val="0"/>
                <w:sz w:val="20"/>
                <w:szCs w:val="20"/>
                <w:lang w:eastAsia="es-ES"/>
              </w:rPr>
              <w:t>un máximo de 3 horas</w:t>
            </w:r>
          </w:p>
        </w:tc>
        <w:tc>
          <w:tcPr>
            <w:tcW w:w="2882" w:type="dxa"/>
            <w:tcMar>
              <w:left w:w="107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108,25 €/mes por 1 hora diaria</w:t>
            </w:r>
          </w:p>
        </w:tc>
      </w:tr>
    </w:tbl>
    <w:p w:rsidR="004371C2" w:rsidRDefault="004371C2">
      <w:pPr>
        <w:spacing w:before="120" w:after="113" w:line="360" w:lineRule="auto"/>
        <w:ind w:left="-142"/>
        <w:contextualSpacing/>
        <w:jc w:val="both"/>
        <w:textAlignment w:val="baseline"/>
        <w:rPr>
          <w:sz w:val="20"/>
          <w:szCs w:val="20"/>
        </w:rPr>
      </w:pPr>
    </w:p>
    <w:p w:rsidR="004371C2" w:rsidRDefault="00196DB1">
      <w:pPr>
        <w:spacing w:before="120" w:after="113" w:line="360" w:lineRule="auto"/>
        <w:ind w:left="-142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Aqueles servizos básicos que se demanden de xeito extraordinario, sendo unha excepcionalidade na súa prestación, estarán ao disposto na seguinte táboa:</w:t>
      </w:r>
    </w:p>
    <w:p w:rsidR="004371C2" w:rsidRDefault="004371C2">
      <w:pPr>
        <w:spacing w:before="120" w:after="113" w:line="360" w:lineRule="auto"/>
        <w:ind w:left="-142"/>
        <w:contextualSpacing/>
        <w:jc w:val="both"/>
        <w:textAlignment w:val="baseline"/>
        <w:rPr>
          <w:sz w:val="20"/>
          <w:szCs w:val="20"/>
        </w:rPr>
      </w:pPr>
    </w:p>
    <w:tbl>
      <w:tblPr>
        <w:tblStyle w:val="Cuadrculaclara-nfasis4"/>
        <w:tblW w:w="8645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763"/>
        <w:gridCol w:w="2882"/>
      </w:tblGrid>
      <w:tr w:rsidR="004371C2" w:rsidTr="00437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2" w:type="dxa"/>
            <w:tcBorders>
              <w:bottom w:val="single" w:sz="18" w:space="0" w:color="8064A2"/>
            </w:tcBorders>
            <w:shd w:val="clear" w:color="auto" w:fill="auto"/>
            <w:tcMar>
              <w:left w:w="107" w:type="dxa"/>
            </w:tcMar>
          </w:tcPr>
          <w:p w:rsidR="004371C2" w:rsidRDefault="00196DB1">
            <w:pPr>
              <w:spacing w:after="0" w:line="360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SERVIZOS BÁSICOS PUNTUAIS A MAIORES</w:t>
            </w:r>
          </w:p>
        </w:tc>
        <w:tc>
          <w:tcPr>
            <w:tcW w:w="2882" w:type="dxa"/>
            <w:tcBorders>
              <w:bottom w:val="single" w:sz="18" w:space="0" w:color="8064A2"/>
            </w:tcBorders>
            <w:shd w:val="clear" w:color="auto" w:fill="auto"/>
            <w:tcMar>
              <w:left w:w="107" w:type="dxa"/>
            </w:tcMar>
          </w:tcPr>
          <w:p w:rsidR="004371C2" w:rsidRDefault="00196DB1">
            <w:pPr>
              <w:spacing w:after="0" w:line="360" w:lineRule="auto"/>
              <w:contextualSpacing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 xml:space="preserve">PREZO DO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SERVIZO</w:t>
            </w:r>
          </w:p>
        </w:tc>
      </w:tr>
      <w:tr w:rsidR="004371C2" w:rsidTr="0043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2" w:type="dxa"/>
            <w:tcMar>
              <w:left w:w="107" w:type="dxa"/>
            </w:tcMar>
            <w:vAlign w:val="center"/>
          </w:tcPr>
          <w:p w:rsidR="004371C2" w:rsidRDefault="00196DB1">
            <w:pPr>
              <w:spacing w:before="120" w:after="0" w:line="240" w:lineRule="auto"/>
              <w:contextualSpacing/>
              <w:jc w:val="both"/>
              <w:textAlignment w:val="baseline"/>
            </w:pPr>
            <w:r>
              <w:rPr>
                <w:rFonts w:eastAsia="Times New Roman" w:cs="Arial"/>
                <w:b w:val="0"/>
                <w:sz w:val="20"/>
                <w:szCs w:val="20"/>
                <w:lang w:eastAsia="es-ES"/>
              </w:rPr>
              <w:t>Hora de atención</w:t>
            </w:r>
          </w:p>
        </w:tc>
        <w:tc>
          <w:tcPr>
            <w:tcW w:w="2882" w:type="dxa"/>
            <w:tcMar>
              <w:left w:w="107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12 €/hora</w:t>
            </w:r>
          </w:p>
        </w:tc>
      </w:tr>
      <w:tr w:rsidR="004371C2" w:rsidTr="00437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2" w:type="dxa"/>
            <w:shd w:val="clear" w:color="auto" w:fill="auto"/>
            <w:tcMar>
              <w:left w:w="107" w:type="dxa"/>
            </w:tcMar>
            <w:vAlign w:val="center"/>
          </w:tcPr>
          <w:p w:rsidR="004371C2" w:rsidRDefault="00196DB1">
            <w:pPr>
              <w:spacing w:before="120" w:after="0" w:line="240" w:lineRule="auto"/>
              <w:contextualSpacing/>
              <w:jc w:val="both"/>
              <w:textAlignment w:val="baseline"/>
            </w:pPr>
            <w:r>
              <w:rPr>
                <w:rFonts w:eastAsia="Times New Roman" w:cs="Arial"/>
                <w:b w:val="0"/>
                <w:sz w:val="20"/>
                <w:szCs w:val="20"/>
                <w:lang w:eastAsia="es-ES"/>
              </w:rPr>
              <w:t>1 Comida principal</w:t>
            </w:r>
          </w:p>
        </w:tc>
        <w:tc>
          <w:tcPr>
            <w:tcW w:w="2882" w:type="dxa"/>
            <w:shd w:val="clear" w:color="auto" w:fill="auto"/>
            <w:tcMar>
              <w:left w:w="107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9 €/comida principal</w:t>
            </w:r>
          </w:p>
        </w:tc>
      </w:tr>
      <w:tr w:rsidR="004371C2" w:rsidTr="0043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2" w:type="dxa"/>
            <w:tcMar>
              <w:left w:w="107" w:type="dxa"/>
            </w:tcMar>
            <w:vAlign w:val="center"/>
          </w:tcPr>
          <w:p w:rsidR="004371C2" w:rsidRDefault="00196DB1">
            <w:pPr>
              <w:spacing w:before="120" w:after="0" w:line="240" w:lineRule="auto"/>
              <w:contextualSpacing/>
              <w:jc w:val="both"/>
              <w:textAlignment w:val="baseline"/>
            </w:pPr>
            <w:r>
              <w:rPr>
                <w:rFonts w:eastAsia="Times New Roman" w:cs="Arial"/>
                <w:b w:val="0"/>
                <w:sz w:val="20"/>
                <w:szCs w:val="20"/>
                <w:lang w:eastAsia="es-ES"/>
              </w:rPr>
              <w:t>1 Comida secundaria</w:t>
            </w:r>
          </w:p>
        </w:tc>
        <w:tc>
          <w:tcPr>
            <w:tcW w:w="2882" w:type="dxa"/>
            <w:tcMar>
              <w:left w:w="107" w:type="dxa"/>
            </w:tcMar>
          </w:tcPr>
          <w:p w:rsidR="004371C2" w:rsidRDefault="00196DB1">
            <w:pPr>
              <w:spacing w:before="120" w:after="0" w:line="240" w:lineRule="auto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3 €/comida secundaria</w:t>
            </w:r>
          </w:p>
        </w:tc>
      </w:tr>
    </w:tbl>
    <w:p w:rsidR="004371C2" w:rsidRDefault="004371C2">
      <w:pPr>
        <w:spacing w:before="120" w:after="113" w:line="360" w:lineRule="auto"/>
        <w:contextualSpacing/>
        <w:jc w:val="both"/>
        <w:textAlignment w:val="baseline"/>
        <w:rPr>
          <w:sz w:val="20"/>
          <w:szCs w:val="20"/>
        </w:rPr>
      </w:pPr>
    </w:p>
    <w:p w:rsidR="004371C2" w:rsidRDefault="00196DB1">
      <w:pPr>
        <w:spacing w:before="120" w:after="113" w:line="360" w:lineRule="auto"/>
        <w:ind w:left="-142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Terase en conta o carácter puntual e excepcional, polo que de existir unha demanda continua nestes últimos, a persoa responsable do </w:t>
      </w:r>
      <w:r>
        <w:rPr>
          <w:sz w:val="20"/>
          <w:szCs w:val="20"/>
        </w:rPr>
        <w:t xml:space="preserve">centro terá que </w:t>
      </w:r>
      <w:proofErr w:type="spellStart"/>
      <w:r>
        <w:rPr>
          <w:sz w:val="20"/>
          <w:szCs w:val="20"/>
        </w:rPr>
        <w:t>plantexar</w:t>
      </w:r>
      <w:proofErr w:type="spellEnd"/>
      <w:r>
        <w:rPr>
          <w:sz w:val="20"/>
          <w:szCs w:val="20"/>
        </w:rPr>
        <w:t xml:space="preserve"> a persoa usuaria a contratación do servizo básico de xeito periódico.</w:t>
      </w:r>
    </w:p>
    <w:p w:rsidR="004371C2" w:rsidRDefault="00196DB1">
      <w:pPr>
        <w:spacing w:before="120" w:after="113" w:line="360" w:lineRule="auto"/>
        <w:ind w:left="-142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Se a persoa usuaria demanda a asistencia ao Centro de Atención diúrna, nunha intensidade inferior a 5 días a semana, a participación da persoa usuaria reduciras</w:t>
      </w:r>
      <w:r>
        <w:rPr>
          <w:sz w:val="20"/>
          <w:szCs w:val="20"/>
        </w:rPr>
        <w:t>e de xeito proporcional a asistencia efectiva ao Servizo.</w:t>
      </w:r>
    </w:p>
    <w:p w:rsidR="004371C2" w:rsidRDefault="004371C2">
      <w:pPr>
        <w:spacing w:before="120" w:after="113" w:line="360" w:lineRule="auto"/>
        <w:ind w:left="-142"/>
        <w:contextualSpacing/>
        <w:jc w:val="both"/>
        <w:textAlignment w:val="baseline"/>
        <w:rPr>
          <w:sz w:val="20"/>
          <w:szCs w:val="20"/>
        </w:rPr>
      </w:pPr>
    </w:p>
    <w:p w:rsidR="004371C2" w:rsidRDefault="00196DB1">
      <w:pPr>
        <w:numPr>
          <w:ilvl w:val="0"/>
          <w:numId w:val="2"/>
        </w:numPr>
        <w:spacing w:before="120" w:after="113" w:line="360" w:lineRule="auto"/>
        <w:ind w:left="0" w:hanging="283"/>
        <w:contextualSpacing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es-ES"/>
        </w:rPr>
        <w:t>Determinación da participación económica para os servizos básicos na modalidade ordinaria en función da capacidade económica: Prezo Público.</w:t>
      </w:r>
    </w:p>
    <w:p w:rsidR="004371C2" w:rsidRDefault="004371C2">
      <w:pPr>
        <w:spacing w:before="120" w:after="113" w:line="360" w:lineRule="auto"/>
        <w:contextualSpacing/>
        <w:jc w:val="both"/>
        <w:textAlignment w:val="baseline"/>
        <w:rPr>
          <w:sz w:val="20"/>
          <w:szCs w:val="20"/>
        </w:rPr>
      </w:pPr>
    </w:p>
    <w:p w:rsidR="004371C2" w:rsidRDefault="00196DB1">
      <w:pPr>
        <w:tabs>
          <w:tab w:val="left" w:pos="855"/>
        </w:tabs>
        <w:spacing w:before="113" w:after="113" w:line="360" w:lineRule="auto"/>
        <w:ind w:left="-284"/>
        <w:jc w:val="both"/>
        <w:rPr>
          <w:rFonts w:cs="Calibri"/>
          <w:sz w:val="20"/>
          <w:szCs w:val="20"/>
        </w:rPr>
      </w:pPr>
      <w:r>
        <w:rPr>
          <w:rStyle w:val="Fuentedeprrafopredeter1"/>
          <w:rFonts w:cs="Calibri"/>
          <w:sz w:val="20"/>
          <w:szCs w:val="20"/>
        </w:rPr>
        <w:t>As persoas usuarias dos servizos básicos ao abeiro da m</w:t>
      </w:r>
      <w:r>
        <w:rPr>
          <w:rStyle w:val="Fuentedeprrafopredeter1"/>
          <w:rFonts w:cs="Calibri"/>
          <w:sz w:val="20"/>
          <w:szCs w:val="20"/>
        </w:rPr>
        <w:t xml:space="preserve">odalidade ordinaria segundo establece a ordenanza de acceso ao servizo, participarán no financiamento do mesmo de acordo a súa capacidade económica mensual, e aplicarase </w:t>
      </w:r>
      <w:r>
        <w:rPr>
          <w:sz w:val="20"/>
          <w:szCs w:val="20"/>
        </w:rPr>
        <w:t>a seguinte fórmula:</w:t>
      </w:r>
    </w:p>
    <w:p w:rsidR="004371C2" w:rsidRDefault="00196DB1">
      <w:pPr>
        <w:pStyle w:val="NormalWeb"/>
        <w:spacing w:after="0"/>
        <w:jc w:val="center"/>
        <w:rPr>
          <w:lang w:val="gl-ES"/>
        </w:rPr>
      </w:pPr>
      <w:r>
        <w:rPr>
          <w:rFonts w:ascii="Calibri" w:hAnsi="Calibri"/>
          <w:b/>
          <w:bCs/>
          <w:sz w:val="20"/>
          <w:szCs w:val="20"/>
          <w:lang w:val="gl-ES"/>
        </w:rPr>
        <w:t xml:space="preserve">PU = </w:t>
      </w:r>
      <w:proofErr w:type="spellStart"/>
      <w:r>
        <w:rPr>
          <w:rFonts w:ascii="Calibri" w:hAnsi="Calibri"/>
          <w:b/>
          <w:bCs/>
          <w:sz w:val="20"/>
          <w:szCs w:val="20"/>
          <w:lang w:val="gl-ES"/>
        </w:rPr>
        <w:t>Ps</w:t>
      </w:r>
      <w:proofErr w:type="spellEnd"/>
      <w:r>
        <w:rPr>
          <w:rFonts w:ascii="Calibri" w:hAnsi="Calibri"/>
          <w:b/>
          <w:bCs/>
          <w:sz w:val="20"/>
          <w:szCs w:val="20"/>
          <w:lang w:val="gl-ES"/>
        </w:rPr>
        <w:t xml:space="preserve"> (</w:t>
      </w:r>
      <w:proofErr w:type="spellStart"/>
      <w:r>
        <w:rPr>
          <w:rFonts w:ascii="Calibri" w:hAnsi="Calibri"/>
          <w:b/>
          <w:bCs/>
          <w:sz w:val="20"/>
          <w:szCs w:val="20"/>
          <w:lang w:val="gl-ES"/>
        </w:rPr>
        <w:t>Ce</w:t>
      </w:r>
      <w:r>
        <w:rPr>
          <w:rFonts w:ascii="Calibri" w:hAnsi="Calibri"/>
          <w:b/>
          <w:bCs/>
          <w:sz w:val="20"/>
          <w:szCs w:val="20"/>
          <w:vertAlign w:val="subscript"/>
          <w:lang w:val="gl-ES"/>
        </w:rPr>
        <w:t>m</w:t>
      </w:r>
      <w:proofErr w:type="spellEnd"/>
      <w:r>
        <w:rPr>
          <w:rFonts w:ascii="Calibri" w:hAnsi="Calibri"/>
          <w:b/>
          <w:bCs/>
          <w:sz w:val="20"/>
          <w:szCs w:val="20"/>
          <w:lang w:val="gl-ES"/>
        </w:rPr>
        <w:t>/</w:t>
      </w:r>
      <w:proofErr w:type="spellStart"/>
      <w:r>
        <w:rPr>
          <w:rFonts w:ascii="Calibri" w:hAnsi="Calibri"/>
          <w:b/>
          <w:bCs/>
          <w:sz w:val="20"/>
          <w:szCs w:val="20"/>
          <w:lang w:val="gl-ES"/>
        </w:rPr>
        <w:t>Iprem</w:t>
      </w:r>
      <w:proofErr w:type="spellEnd"/>
      <w:r>
        <w:rPr>
          <w:rFonts w:ascii="Calibri" w:hAnsi="Calibri"/>
          <w:b/>
          <w:bCs/>
          <w:sz w:val="20"/>
          <w:szCs w:val="20"/>
          <w:lang w:val="gl-ES"/>
        </w:rPr>
        <w:t>) x 0’45</w:t>
      </w:r>
    </w:p>
    <w:p w:rsidR="004371C2" w:rsidRDefault="00196DB1">
      <w:pPr>
        <w:pStyle w:val="NormalWeb"/>
        <w:spacing w:after="0"/>
        <w:ind w:left="-284"/>
        <w:rPr>
          <w:lang w:val="gl-ES"/>
        </w:rPr>
      </w:pPr>
      <w:r>
        <w:rPr>
          <w:rFonts w:ascii="Calibri" w:hAnsi="Calibri"/>
          <w:sz w:val="20"/>
          <w:szCs w:val="20"/>
          <w:lang w:val="gl-ES"/>
        </w:rPr>
        <w:t xml:space="preserve">Sendo: </w:t>
      </w:r>
    </w:p>
    <w:p w:rsidR="004371C2" w:rsidRDefault="00196DB1">
      <w:pPr>
        <w:pStyle w:val="NormalWeb"/>
        <w:spacing w:after="0"/>
        <w:ind w:left="-284"/>
      </w:pPr>
      <w:r>
        <w:rPr>
          <w:rFonts w:ascii="Calibri" w:hAnsi="Calibri"/>
          <w:b/>
          <w:color w:val="000000"/>
          <w:sz w:val="20"/>
          <w:szCs w:val="20"/>
          <w:lang w:val="gl-ES"/>
        </w:rPr>
        <w:t>PU</w:t>
      </w:r>
      <w:r>
        <w:rPr>
          <w:rFonts w:ascii="Calibri" w:hAnsi="Calibri"/>
          <w:color w:val="000000"/>
          <w:sz w:val="20"/>
          <w:szCs w:val="20"/>
          <w:lang w:val="gl-ES"/>
        </w:rPr>
        <w:t xml:space="preserve"> = Participación da persoa usuaria</w:t>
      </w:r>
    </w:p>
    <w:p w:rsidR="004371C2" w:rsidRDefault="00196DB1">
      <w:pPr>
        <w:pStyle w:val="NormalWeb"/>
        <w:spacing w:after="0"/>
        <w:ind w:left="-284"/>
      </w:pPr>
      <w:proofErr w:type="spellStart"/>
      <w:r>
        <w:rPr>
          <w:rFonts w:ascii="Calibri" w:hAnsi="Calibri"/>
          <w:b/>
          <w:color w:val="000000"/>
          <w:sz w:val="20"/>
          <w:szCs w:val="20"/>
          <w:lang w:val="gl-ES"/>
        </w:rPr>
        <w:t>Ps</w:t>
      </w:r>
      <w:proofErr w:type="spellEnd"/>
      <w:r>
        <w:rPr>
          <w:rFonts w:ascii="Calibri" w:hAnsi="Calibri"/>
          <w:color w:val="000000"/>
          <w:sz w:val="20"/>
          <w:szCs w:val="20"/>
          <w:lang w:val="gl-ES"/>
        </w:rPr>
        <w:t>= Prezo do servizo en euros.</w:t>
      </w:r>
    </w:p>
    <w:p w:rsidR="004371C2" w:rsidRDefault="00196DB1">
      <w:pPr>
        <w:pStyle w:val="NormalWeb"/>
        <w:spacing w:after="0"/>
        <w:ind w:left="-284"/>
      </w:pPr>
      <w:proofErr w:type="spellStart"/>
      <w:r>
        <w:rPr>
          <w:rFonts w:ascii="Calibri" w:hAnsi="Calibri"/>
          <w:b/>
          <w:color w:val="000000"/>
          <w:sz w:val="20"/>
          <w:szCs w:val="20"/>
          <w:lang w:val="gl-ES"/>
        </w:rPr>
        <w:t>Ce</w:t>
      </w:r>
      <w:r>
        <w:rPr>
          <w:rFonts w:ascii="Calibri" w:hAnsi="Calibri"/>
          <w:b/>
          <w:color w:val="000000"/>
          <w:sz w:val="20"/>
          <w:szCs w:val="20"/>
          <w:vertAlign w:val="subscript"/>
          <w:lang w:val="gl-ES"/>
        </w:rPr>
        <w:t>m</w:t>
      </w:r>
      <w:proofErr w:type="spellEnd"/>
      <w:r>
        <w:rPr>
          <w:rFonts w:ascii="Calibri" w:hAnsi="Calibri"/>
          <w:color w:val="000000"/>
          <w:sz w:val="20"/>
          <w:szCs w:val="20"/>
          <w:lang w:val="gl-ES"/>
        </w:rPr>
        <w:t xml:space="preserve"> = Capacidade económica mensual en euros.</w:t>
      </w:r>
    </w:p>
    <w:p w:rsidR="004371C2" w:rsidRDefault="00196DB1">
      <w:pPr>
        <w:pStyle w:val="NormalWeb"/>
        <w:spacing w:after="0"/>
        <w:ind w:left="-284"/>
      </w:pPr>
      <w:proofErr w:type="spellStart"/>
      <w:r>
        <w:rPr>
          <w:rFonts w:ascii="Calibri" w:hAnsi="Calibri"/>
          <w:b/>
          <w:color w:val="000000"/>
          <w:sz w:val="20"/>
          <w:szCs w:val="20"/>
          <w:lang w:val="gl-ES"/>
        </w:rPr>
        <w:t>Iprem</w:t>
      </w:r>
      <w:proofErr w:type="spellEnd"/>
      <w:r>
        <w:rPr>
          <w:rFonts w:ascii="Calibri" w:hAnsi="Calibri"/>
          <w:color w:val="000000"/>
          <w:sz w:val="20"/>
          <w:szCs w:val="20"/>
          <w:lang w:val="gl-ES"/>
        </w:rPr>
        <w:t xml:space="preserve"> = Indicador Público de Renda de Efectos Múltiples (IPREM)</w:t>
      </w:r>
    </w:p>
    <w:p w:rsidR="004371C2" w:rsidRDefault="004371C2">
      <w:pPr>
        <w:spacing w:before="120" w:after="113" w:line="360" w:lineRule="auto"/>
        <w:ind w:left="-142"/>
        <w:contextualSpacing/>
        <w:jc w:val="both"/>
        <w:textAlignment w:val="baseline"/>
        <w:rPr>
          <w:sz w:val="20"/>
          <w:szCs w:val="20"/>
          <w:lang w:val="es-ES"/>
        </w:rPr>
      </w:pPr>
    </w:p>
    <w:p w:rsidR="004371C2" w:rsidRDefault="00196DB1">
      <w:pPr>
        <w:tabs>
          <w:tab w:val="left" w:pos="855"/>
        </w:tabs>
        <w:spacing w:before="113" w:after="113" w:line="360" w:lineRule="auto"/>
        <w:ind w:left="-284"/>
        <w:jc w:val="both"/>
        <w:rPr>
          <w:sz w:val="20"/>
          <w:szCs w:val="20"/>
        </w:rPr>
      </w:pPr>
      <w:r>
        <w:rPr>
          <w:rStyle w:val="Fuentedeprrafopredeter1"/>
          <w:rFonts w:cs="Calibri"/>
          <w:sz w:val="20"/>
          <w:szCs w:val="20"/>
        </w:rPr>
        <w:t>Unha vez obtida a contía, respectarase o mínimo vital, calculados segundo o esta</w:t>
      </w:r>
      <w:r>
        <w:rPr>
          <w:rStyle w:val="Fuentedeprrafopredeter1"/>
          <w:rFonts w:cs="Calibri"/>
          <w:sz w:val="20"/>
          <w:szCs w:val="20"/>
        </w:rPr>
        <w:t xml:space="preserve">blecido no artigo 5,  que lle corresponda, e terase en conta os límites de participación no financiamento, dando finalmente o prezo público a aboar pola persoa usuaria. </w:t>
      </w:r>
    </w:p>
    <w:p w:rsidR="004C686D" w:rsidRDefault="004C686D">
      <w:pPr>
        <w:spacing w:before="113" w:after="113" w:line="360" w:lineRule="auto"/>
        <w:ind w:left="-284"/>
        <w:jc w:val="both"/>
        <w:textAlignment w:val="baseline"/>
        <w:rPr>
          <w:rFonts w:eastAsia="Times New Roman" w:cs="Arial"/>
          <w:b/>
          <w:sz w:val="20"/>
          <w:szCs w:val="20"/>
          <w:lang w:eastAsia="es-ES"/>
        </w:rPr>
      </w:pPr>
    </w:p>
    <w:p w:rsidR="004C686D" w:rsidRDefault="004C686D">
      <w:pPr>
        <w:spacing w:before="113" w:after="113" w:line="360" w:lineRule="auto"/>
        <w:ind w:left="-284"/>
        <w:jc w:val="both"/>
        <w:textAlignment w:val="baseline"/>
        <w:rPr>
          <w:rFonts w:eastAsia="Times New Roman" w:cs="Arial"/>
          <w:b/>
          <w:sz w:val="20"/>
          <w:szCs w:val="20"/>
          <w:lang w:eastAsia="es-ES"/>
        </w:rPr>
      </w:pPr>
    </w:p>
    <w:p w:rsidR="004371C2" w:rsidRDefault="00196DB1">
      <w:pPr>
        <w:spacing w:before="113" w:after="113" w:line="360" w:lineRule="auto"/>
        <w:ind w:left="-284"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b/>
          <w:sz w:val="20"/>
          <w:szCs w:val="20"/>
          <w:lang w:eastAsia="es-ES"/>
        </w:rPr>
        <w:lastRenderedPageBreak/>
        <w:t>Artigo 4. Determinación de capacidade económica.</w:t>
      </w:r>
    </w:p>
    <w:p w:rsidR="004371C2" w:rsidRDefault="00196DB1">
      <w:pPr>
        <w:tabs>
          <w:tab w:val="left" w:pos="855"/>
        </w:tabs>
        <w:spacing w:before="113" w:after="113" w:line="360" w:lineRule="auto"/>
        <w:ind w:left="-284"/>
        <w:jc w:val="both"/>
        <w:rPr>
          <w:sz w:val="20"/>
          <w:szCs w:val="20"/>
        </w:rPr>
      </w:pPr>
      <w:r>
        <w:rPr>
          <w:rStyle w:val="Fuentedeprrafopredeter1"/>
          <w:rFonts w:cs="Calibri"/>
          <w:bCs/>
          <w:sz w:val="20"/>
          <w:szCs w:val="20"/>
        </w:rPr>
        <w:t>4.1. Regras para a determinación da c</w:t>
      </w:r>
      <w:r>
        <w:rPr>
          <w:rStyle w:val="Fuentedeprrafopredeter1"/>
          <w:rFonts w:cs="Calibri"/>
          <w:bCs/>
          <w:sz w:val="20"/>
          <w:szCs w:val="20"/>
        </w:rPr>
        <w:t>apacidade económica para os servizos prestados na modalidade ordinaria</w:t>
      </w:r>
    </w:p>
    <w:p w:rsidR="004371C2" w:rsidRDefault="00196DB1">
      <w:pPr>
        <w:spacing w:before="120" w:after="113" w:line="360" w:lineRule="auto"/>
        <w:ind w:left="-142"/>
        <w:contextualSpacing/>
        <w:jc w:val="both"/>
        <w:textAlignment w:val="baseline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A capacidade económica da persoa usuaria aos efectos desta Ordenanza será a resultante da suma de todos os ingresos en cómputo anual </w:t>
      </w: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Iga</w:t>
      </w:r>
      <w:proofErr w:type="spellEnd"/>
      <w:r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máis a capacidade patrimonial </w:t>
      </w: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Cp</w:t>
      </w:r>
      <w:proofErr w:type="spellEnd"/>
      <w:r>
        <w:rPr>
          <w:b/>
          <w:sz w:val="20"/>
          <w:szCs w:val="20"/>
        </w:rPr>
        <w:t>).</w:t>
      </w:r>
      <w:r>
        <w:rPr>
          <w:sz w:val="20"/>
          <w:szCs w:val="20"/>
        </w:rPr>
        <w:t xml:space="preserve"> A Capacid</w:t>
      </w:r>
      <w:r>
        <w:rPr>
          <w:sz w:val="20"/>
          <w:szCs w:val="20"/>
        </w:rPr>
        <w:t>ade Patrimonial calcularase en función do patrimonio a imputar, multiplicado polo coeficiente que lle corresponda na “Táboa de patrimonio progresiva”.</w:t>
      </w:r>
    </w:p>
    <w:p w:rsidR="004371C2" w:rsidRDefault="00196DB1">
      <w:pPr>
        <w:spacing w:before="120" w:after="113" w:line="360" w:lineRule="auto"/>
        <w:ind w:left="-142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A capacidade económica </w:t>
      </w:r>
      <w:r>
        <w:rPr>
          <w:b/>
          <w:sz w:val="20"/>
          <w:szCs w:val="20"/>
        </w:rPr>
        <w:t>(Ce)</w:t>
      </w:r>
      <w:r>
        <w:rPr>
          <w:sz w:val="20"/>
          <w:szCs w:val="20"/>
        </w:rPr>
        <w:t xml:space="preserve"> determinarase en cómputo anual, sen prexuízo de que para o cálculo da súa par</w:t>
      </w:r>
      <w:r>
        <w:rPr>
          <w:sz w:val="20"/>
          <w:szCs w:val="20"/>
        </w:rPr>
        <w:t xml:space="preserve">ticipación no custo dos servizos se compute en termos mensuais calculada como a doceava parte da súa capacidade económica anual. </w:t>
      </w:r>
    </w:p>
    <w:p w:rsidR="004371C2" w:rsidRDefault="00196DB1">
      <w:pPr>
        <w:pStyle w:val="western"/>
        <w:spacing w:before="57" w:beforeAutospacing="0" w:after="113" w:line="360" w:lineRule="auto"/>
        <w:jc w:val="center"/>
        <w:rPr>
          <w:color w:val="00000A"/>
        </w:rPr>
      </w:pPr>
      <w:r>
        <w:rPr>
          <w:rFonts w:ascii="Calibri" w:hAnsi="Calibri"/>
          <w:b/>
          <w:bCs/>
          <w:color w:val="00000A"/>
          <w:sz w:val="20"/>
          <w:szCs w:val="20"/>
          <w:lang w:val="gl-ES"/>
        </w:rPr>
        <w:t>Ce= (</w:t>
      </w:r>
      <w:proofErr w:type="spellStart"/>
      <w:r>
        <w:rPr>
          <w:rFonts w:ascii="Calibri" w:hAnsi="Calibri"/>
          <w:b/>
          <w:bCs/>
          <w:color w:val="00000A"/>
          <w:sz w:val="20"/>
          <w:szCs w:val="20"/>
          <w:lang w:val="gl-ES"/>
        </w:rPr>
        <w:t>Iga</w:t>
      </w:r>
      <w:proofErr w:type="spellEnd"/>
      <w:r>
        <w:rPr>
          <w:rFonts w:ascii="Calibri" w:hAnsi="Calibri"/>
          <w:b/>
          <w:bCs/>
          <w:color w:val="00000A"/>
          <w:sz w:val="20"/>
          <w:szCs w:val="20"/>
          <w:lang w:val="gl-ES"/>
        </w:rPr>
        <w:t xml:space="preserve"> + </w:t>
      </w:r>
      <w:proofErr w:type="spellStart"/>
      <w:r>
        <w:rPr>
          <w:rFonts w:ascii="Calibri" w:hAnsi="Calibri"/>
          <w:b/>
          <w:bCs/>
          <w:color w:val="00000A"/>
          <w:sz w:val="20"/>
          <w:szCs w:val="20"/>
          <w:lang w:val="gl-ES"/>
        </w:rPr>
        <w:t>Cp</w:t>
      </w:r>
      <w:proofErr w:type="spellEnd"/>
      <w:r>
        <w:rPr>
          <w:rFonts w:ascii="Calibri" w:hAnsi="Calibri"/>
          <w:b/>
          <w:bCs/>
          <w:color w:val="00000A"/>
          <w:sz w:val="20"/>
          <w:szCs w:val="20"/>
          <w:lang w:val="gl-ES"/>
        </w:rPr>
        <w:t>)</w:t>
      </w:r>
    </w:p>
    <w:p w:rsidR="004371C2" w:rsidRDefault="00196DB1">
      <w:pPr>
        <w:pStyle w:val="western"/>
        <w:spacing w:before="57" w:beforeAutospacing="0" w:after="113" w:line="360" w:lineRule="auto"/>
        <w:jc w:val="center"/>
        <w:rPr>
          <w:color w:val="00000A"/>
        </w:rPr>
      </w:pPr>
      <w:proofErr w:type="spellStart"/>
      <w:r>
        <w:rPr>
          <w:rFonts w:ascii="Calibri" w:hAnsi="Calibri"/>
          <w:b/>
          <w:bCs/>
          <w:color w:val="00000A"/>
          <w:sz w:val="20"/>
          <w:szCs w:val="20"/>
          <w:lang w:val="gl-ES"/>
        </w:rPr>
        <w:t>Ce</w:t>
      </w:r>
      <w:r>
        <w:rPr>
          <w:rFonts w:ascii="Calibri" w:hAnsi="Calibri"/>
          <w:b/>
          <w:bCs/>
          <w:color w:val="00000A"/>
          <w:sz w:val="20"/>
          <w:szCs w:val="20"/>
          <w:vertAlign w:val="subscript"/>
          <w:lang w:val="gl-ES"/>
        </w:rPr>
        <w:t>m</w:t>
      </w:r>
      <w:proofErr w:type="spellEnd"/>
      <w:r>
        <w:rPr>
          <w:rFonts w:ascii="Calibri" w:hAnsi="Calibri"/>
          <w:b/>
          <w:bCs/>
          <w:color w:val="00000A"/>
          <w:sz w:val="20"/>
          <w:szCs w:val="20"/>
          <w:lang w:val="gl-ES"/>
        </w:rPr>
        <w:t>= Ce/12</w:t>
      </w:r>
    </w:p>
    <w:p w:rsidR="004371C2" w:rsidRDefault="00196DB1">
      <w:pPr>
        <w:pStyle w:val="western"/>
        <w:spacing w:before="57" w:beforeAutospacing="0" w:after="113" w:line="360" w:lineRule="auto"/>
        <w:jc w:val="center"/>
        <w:rPr>
          <w:rFonts w:ascii="Calibri" w:hAnsi="Calibri"/>
          <w:i/>
          <w:iCs/>
          <w:color w:val="00000A"/>
          <w:sz w:val="20"/>
          <w:szCs w:val="20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70485</wp:posOffset>
                </wp:positionV>
                <wp:extent cx="2281555" cy="2169160"/>
                <wp:effectExtent l="0" t="0" r="0" b="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2169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593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15" w:type="dxa"/>
                                <w:left w:w="10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42"/>
                              <w:gridCol w:w="2651"/>
                            </w:tblGrid>
                            <w:tr w:rsidR="004371C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359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FF6DF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jc w:val="center"/>
                                  </w:pPr>
                                  <w:bookmarkStart w:id="0" w:name="__UnoMark__3437_1119847107"/>
                                  <w:bookmarkEnd w:id="0"/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  <w:t>TÁBOA DE  PATRIMONIO PROGRESIVA</w:t>
                                  </w:r>
                                </w:p>
                              </w:tc>
                            </w:tr>
                            <w:tr w:rsidR="004371C2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FF6DF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1" w:name="__UnoMark__3438_1119847107"/>
                                  <w:bookmarkEnd w:id="1"/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  <w:t>PATRIMONO</w:t>
                                  </w:r>
                                </w:p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2" w:name="__UnoMark__3439_1119847107"/>
                                  <w:bookmarkEnd w:id="2"/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  <w:t>ATA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FF6DF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3" w:name="__UnoMark__3440_1119847107"/>
                                  <w:bookmarkStart w:id="4" w:name="__UnoMark__3441_1119847107"/>
                                  <w:bookmarkEnd w:id="3"/>
                                  <w:bookmarkEnd w:id="4"/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  <w:t>COEFICIENTE PROGRESIVO PATRIMONIO</w:t>
                                  </w:r>
                                </w:p>
                              </w:tc>
                            </w:tr>
                            <w:tr w:rsidR="004371C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FF6DF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5" w:name="__UnoMark__3442_1119847107"/>
                                  <w:bookmarkStart w:id="6" w:name="__UnoMark__3443_1119847107"/>
                                  <w:bookmarkEnd w:id="5"/>
                                  <w:bookmarkEnd w:id="6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10.000,00 €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FF6DF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7" w:name="__UnoMark__3444_1119847107"/>
                                  <w:bookmarkStart w:id="8" w:name="__UnoMark__3445_1119847107"/>
                                  <w:bookmarkEnd w:id="7"/>
                                  <w:bookmarkEnd w:id="8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0,050</w:t>
                                  </w:r>
                                </w:p>
                              </w:tc>
                            </w:tr>
                            <w:tr w:rsidR="004371C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9" w:name="__UnoMark__3446_1119847107"/>
                                  <w:bookmarkStart w:id="10" w:name="__UnoMark__3447_1119847107"/>
                                  <w:bookmarkEnd w:id="9"/>
                                  <w:bookmarkEnd w:id="10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20.000,00 €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11" w:name="__UnoMark__3448_1119847107"/>
                                  <w:bookmarkStart w:id="12" w:name="__UnoMark__3449_1119847107"/>
                                  <w:bookmarkEnd w:id="11"/>
                                  <w:bookmarkEnd w:id="12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0,060</w:t>
                                  </w:r>
                                </w:p>
                              </w:tc>
                            </w:tr>
                            <w:tr w:rsidR="004371C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FF6DF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13" w:name="__UnoMark__3450_1119847107"/>
                                  <w:bookmarkStart w:id="14" w:name="__UnoMark__3451_1119847107"/>
                                  <w:bookmarkEnd w:id="13"/>
                                  <w:bookmarkEnd w:id="14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30.000,00 €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FF6DF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15" w:name="__UnoMark__3452_1119847107"/>
                                  <w:bookmarkStart w:id="16" w:name="__UnoMark__3453_1119847107"/>
                                  <w:bookmarkEnd w:id="15"/>
                                  <w:bookmarkEnd w:id="16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0,070</w:t>
                                  </w:r>
                                </w:p>
                              </w:tc>
                            </w:tr>
                            <w:tr w:rsidR="004371C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17" w:name="__UnoMark__3454_1119847107"/>
                                  <w:bookmarkStart w:id="18" w:name="__UnoMark__3455_1119847107"/>
                                  <w:bookmarkEnd w:id="17"/>
                                  <w:bookmarkEnd w:id="18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40.000,00 €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19" w:name="__UnoMark__3456_1119847107"/>
                                  <w:bookmarkStart w:id="20" w:name="__UnoMark__3457_1119847107"/>
                                  <w:bookmarkEnd w:id="19"/>
                                  <w:bookmarkEnd w:id="20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0,080</w:t>
                                  </w:r>
                                </w:p>
                              </w:tc>
                            </w:tr>
                            <w:tr w:rsidR="004371C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FF6DF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21" w:name="__UnoMark__3458_1119847107"/>
                                  <w:bookmarkStart w:id="22" w:name="__UnoMark__3459_1119847107"/>
                                  <w:bookmarkEnd w:id="21"/>
                                  <w:bookmarkEnd w:id="22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50.000,00 €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FF6DF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23" w:name="__UnoMark__3460_1119847107"/>
                                  <w:bookmarkStart w:id="24" w:name="__UnoMark__3461_1119847107"/>
                                  <w:bookmarkEnd w:id="23"/>
                                  <w:bookmarkEnd w:id="24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0,090</w:t>
                                  </w:r>
                                </w:p>
                              </w:tc>
                            </w:tr>
                            <w:tr w:rsidR="004371C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FF6DF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25" w:name="__UnoMark__3462_1119847107"/>
                                  <w:bookmarkStart w:id="26" w:name="__UnoMark__3463_1119847107"/>
                                  <w:bookmarkEnd w:id="25"/>
                                  <w:bookmarkEnd w:id="26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60.000,00 €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FF6DF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27" w:name="__UnoMark__3464_1119847107"/>
                                  <w:bookmarkStart w:id="28" w:name="__UnoMark__3465_1119847107"/>
                                  <w:bookmarkEnd w:id="27"/>
                                  <w:bookmarkEnd w:id="28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0,100</w:t>
                                  </w:r>
                                </w:p>
                              </w:tc>
                            </w:tr>
                            <w:tr w:rsidR="004371C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29" w:name="__UnoMark__3466_1119847107"/>
                                  <w:bookmarkStart w:id="30" w:name="__UnoMark__3467_1119847107"/>
                                  <w:bookmarkEnd w:id="29"/>
                                  <w:bookmarkEnd w:id="30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70.000,00 €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31" w:name="__UnoMark__3468_1119847107"/>
                                  <w:bookmarkStart w:id="32" w:name="__UnoMark__3469_1119847107"/>
                                  <w:bookmarkEnd w:id="31"/>
                                  <w:bookmarkEnd w:id="32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0,110</w:t>
                                  </w:r>
                                </w:p>
                              </w:tc>
                            </w:tr>
                            <w:tr w:rsidR="004371C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FF6DF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33" w:name="__UnoMark__3470_1119847107"/>
                                  <w:bookmarkStart w:id="34" w:name="__UnoMark__3471_1119847107"/>
                                  <w:bookmarkEnd w:id="33"/>
                                  <w:bookmarkEnd w:id="34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80.000,00 €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FF6DF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35" w:name="__UnoMark__3472_1119847107"/>
                                  <w:bookmarkStart w:id="36" w:name="__UnoMark__3473_1119847107"/>
                                  <w:bookmarkEnd w:id="35"/>
                                  <w:bookmarkEnd w:id="36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0,120</w:t>
                                  </w:r>
                                </w:p>
                              </w:tc>
                            </w:tr>
                            <w:tr w:rsidR="004371C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37" w:name="__UnoMark__3474_1119847107"/>
                                  <w:bookmarkStart w:id="38" w:name="__UnoMark__3475_1119847107"/>
                                  <w:bookmarkEnd w:id="37"/>
                                  <w:bookmarkEnd w:id="38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90.000,00 €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39" w:name="__UnoMark__3476_1119847107"/>
                                  <w:bookmarkStart w:id="40" w:name="__UnoMark__3477_1119847107"/>
                                  <w:bookmarkEnd w:id="39"/>
                                  <w:bookmarkEnd w:id="40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0,130</w:t>
                                  </w:r>
                                </w:p>
                              </w:tc>
                            </w:tr>
                            <w:tr w:rsidR="004371C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FF6DF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41" w:name="__UnoMark__3478_1119847107"/>
                                  <w:bookmarkEnd w:id="41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≥</w:t>
                                  </w:r>
                                  <w:bookmarkStart w:id="42" w:name="__UnoMark__3479_1119847107"/>
                                  <w:bookmarkEnd w:id="42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100.000,00 € 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FF6DF"/>
                                  <w:tcMar>
                                    <w:left w:w="10" w:type="dxa"/>
                                  </w:tcMar>
                                  <w:vAlign w:val="center"/>
                                </w:tcPr>
                                <w:p w:rsidR="004371C2" w:rsidRDefault="00196DB1">
                                  <w:pPr>
                                    <w:spacing w:after="0"/>
                                    <w:jc w:val="center"/>
                                  </w:pPr>
                                  <w:bookmarkStart w:id="43" w:name="__UnoMark__3480_1119847107"/>
                                  <w:bookmarkEnd w:id="43"/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0,140</w:t>
                                  </w:r>
                                </w:p>
                              </w:tc>
                            </w:tr>
                          </w:tbl>
                          <w:p w:rsidR="00000000" w:rsidRDefault="00196DB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122.8pt;margin-top:5.55pt;width:179.65pt;height:170.8pt;z-index:2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W w:w="3593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15" w:type="dxa"/>
                          <w:left w:w="10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42"/>
                        <w:gridCol w:w="2651"/>
                      </w:tblGrid>
                      <w:tr w:rsidR="004371C2">
                        <w:trPr>
                          <w:trHeight w:val="255"/>
                          <w:jc w:val="center"/>
                        </w:trPr>
                        <w:tc>
                          <w:tcPr>
                            <w:tcW w:w="359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FF6DF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jc w:val="center"/>
                            </w:pPr>
                            <w:bookmarkStart w:id="44" w:name="__UnoMark__3437_1119847107"/>
                            <w:bookmarkEnd w:id="44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TÁBOA DE  PATRIMONIO PROGRESIVA</w:t>
                            </w:r>
                          </w:p>
                        </w:tc>
                      </w:tr>
                      <w:tr w:rsidR="004371C2">
                        <w:trPr>
                          <w:trHeight w:val="420"/>
                          <w:jc w:val="center"/>
                        </w:trPr>
                        <w:tc>
                          <w:tcPr>
                            <w:tcW w:w="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FF6DF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45" w:name="__UnoMark__3438_1119847107"/>
                            <w:bookmarkEnd w:id="45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PATRIMONO</w:t>
                            </w:r>
                          </w:p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46" w:name="__UnoMark__3439_1119847107"/>
                            <w:bookmarkEnd w:id="46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ATA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FF6DF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47" w:name="__UnoMark__3440_1119847107"/>
                            <w:bookmarkStart w:id="48" w:name="__UnoMark__3441_1119847107"/>
                            <w:bookmarkEnd w:id="47"/>
                            <w:bookmarkEnd w:id="48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COEFICIENTE PROGRESIVO PATRIMONIO</w:t>
                            </w:r>
                          </w:p>
                        </w:tc>
                      </w:tr>
                      <w:tr w:rsidR="004371C2">
                        <w:trPr>
                          <w:trHeight w:val="255"/>
                          <w:jc w:val="center"/>
                        </w:trPr>
                        <w:tc>
                          <w:tcPr>
                            <w:tcW w:w="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FF6DF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49" w:name="__UnoMark__3442_1119847107"/>
                            <w:bookmarkStart w:id="50" w:name="__UnoMark__3443_1119847107"/>
                            <w:bookmarkEnd w:id="49"/>
                            <w:bookmarkEnd w:id="50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10.000,00 €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FF6DF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51" w:name="__UnoMark__3444_1119847107"/>
                            <w:bookmarkStart w:id="52" w:name="__UnoMark__3445_1119847107"/>
                            <w:bookmarkEnd w:id="51"/>
                            <w:bookmarkEnd w:id="52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0,050</w:t>
                            </w:r>
                          </w:p>
                        </w:tc>
                      </w:tr>
                      <w:tr w:rsidR="004371C2">
                        <w:trPr>
                          <w:trHeight w:val="255"/>
                          <w:jc w:val="center"/>
                        </w:trPr>
                        <w:tc>
                          <w:tcPr>
                            <w:tcW w:w="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53" w:name="__UnoMark__3446_1119847107"/>
                            <w:bookmarkStart w:id="54" w:name="__UnoMark__3447_1119847107"/>
                            <w:bookmarkEnd w:id="53"/>
                            <w:bookmarkEnd w:id="54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20.000,00 €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55" w:name="__UnoMark__3448_1119847107"/>
                            <w:bookmarkStart w:id="56" w:name="__UnoMark__3449_1119847107"/>
                            <w:bookmarkEnd w:id="55"/>
                            <w:bookmarkEnd w:id="56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0,060</w:t>
                            </w:r>
                          </w:p>
                        </w:tc>
                      </w:tr>
                      <w:tr w:rsidR="004371C2">
                        <w:trPr>
                          <w:trHeight w:val="255"/>
                          <w:jc w:val="center"/>
                        </w:trPr>
                        <w:tc>
                          <w:tcPr>
                            <w:tcW w:w="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FF6DF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57" w:name="__UnoMark__3450_1119847107"/>
                            <w:bookmarkStart w:id="58" w:name="__UnoMark__3451_1119847107"/>
                            <w:bookmarkEnd w:id="57"/>
                            <w:bookmarkEnd w:id="58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30.000,00 €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FF6DF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59" w:name="__UnoMark__3452_1119847107"/>
                            <w:bookmarkStart w:id="60" w:name="__UnoMark__3453_1119847107"/>
                            <w:bookmarkEnd w:id="59"/>
                            <w:bookmarkEnd w:id="60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0,070</w:t>
                            </w:r>
                          </w:p>
                        </w:tc>
                      </w:tr>
                      <w:tr w:rsidR="004371C2">
                        <w:trPr>
                          <w:trHeight w:val="255"/>
                          <w:jc w:val="center"/>
                        </w:trPr>
                        <w:tc>
                          <w:tcPr>
                            <w:tcW w:w="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61" w:name="__UnoMark__3454_1119847107"/>
                            <w:bookmarkStart w:id="62" w:name="__UnoMark__3455_1119847107"/>
                            <w:bookmarkEnd w:id="61"/>
                            <w:bookmarkEnd w:id="62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40.000,00 €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63" w:name="__UnoMark__3456_1119847107"/>
                            <w:bookmarkStart w:id="64" w:name="__UnoMark__3457_1119847107"/>
                            <w:bookmarkEnd w:id="63"/>
                            <w:bookmarkEnd w:id="64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0,080</w:t>
                            </w:r>
                          </w:p>
                        </w:tc>
                      </w:tr>
                      <w:tr w:rsidR="004371C2">
                        <w:trPr>
                          <w:trHeight w:val="255"/>
                          <w:jc w:val="center"/>
                        </w:trPr>
                        <w:tc>
                          <w:tcPr>
                            <w:tcW w:w="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FF6DF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65" w:name="__UnoMark__3458_1119847107"/>
                            <w:bookmarkStart w:id="66" w:name="__UnoMark__3459_1119847107"/>
                            <w:bookmarkEnd w:id="65"/>
                            <w:bookmarkEnd w:id="66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50.000,00 €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FF6DF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67" w:name="__UnoMark__3460_1119847107"/>
                            <w:bookmarkStart w:id="68" w:name="__UnoMark__3461_1119847107"/>
                            <w:bookmarkEnd w:id="67"/>
                            <w:bookmarkEnd w:id="68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0,090</w:t>
                            </w:r>
                          </w:p>
                        </w:tc>
                      </w:tr>
                      <w:tr w:rsidR="004371C2">
                        <w:trPr>
                          <w:trHeight w:val="255"/>
                          <w:jc w:val="center"/>
                        </w:trPr>
                        <w:tc>
                          <w:tcPr>
                            <w:tcW w:w="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FF6DF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69" w:name="__UnoMark__3462_1119847107"/>
                            <w:bookmarkStart w:id="70" w:name="__UnoMark__3463_1119847107"/>
                            <w:bookmarkEnd w:id="69"/>
                            <w:bookmarkEnd w:id="70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60.000,00 €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FF6DF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71" w:name="__UnoMark__3464_1119847107"/>
                            <w:bookmarkStart w:id="72" w:name="__UnoMark__3465_1119847107"/>
                            <w:bookmarkEnd w:id="71"/>
                            <w:bookmarkEnd w:id="72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0,100</w:t>
                            </w:r>
                          </w:p>
                        </w:tc>
                      </w:tr>
                      <w:tr w:rsidR="004371C2">
                        <w:trPr>
                          <w:trHeight w:val="255"/>
                          <w:jc w:val="center"/>
                        </w:trPr>
                        <w:tc>
                          <w:tcPr>
                            <w:tcW w:w="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73" w:name="__UnoMark__3466_1119847107"/>
                            <w:bookmarkStart w:id="74" w:name="__UnoMark__3467_1119847107"/>
                            <w:bookmarkEnd w:id="73"/>
                            <w:bookmarkEnd w:id="74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70.000,00 €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75" w:name="__UnoMark__3468_1119847107"/>
                            <w:bookmarkStart w:id="76" w:name="__UnoMark__3469_1119847107"/>
                            <w:bookmarkEnd w:id="75"/>
                            <w:bookmarkEnd w:id="76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0,110</w:t>
                            </w:r>
                          </w:p>
                        </w:tc>
                      </w:tr>
                      <w:tr w:rsidR="004371C2">
                        <w:trPr>
                          <w:trHeight w:val="255"/>
                          <w:jc w:val="center"/>
                        </w:trPr>
                        <w:tc>
                          <w:tcPr>
                            <w:tcW w:w="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FF6DF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77" w:name="__UnoMark__3470_1119847107"/>
                            <w:bookmarkStart w:id="78" w:name="__UnoMark__3471_1119847107"/>
                            <w:bookmarkEnd w:id="77"/>
                            <w:bookmarkEnd w:id="78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80.000,00 €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FF6DF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79" w:name="__UnoMark__3472_1119847107"/>
                            <w:bookmarkStart w:id="80" w:name="__UnoMark__3473_1119847107"/>
                            <w:bookmarkEnd w:id="79"/>
                            <w:bookmarkEnd w:id="80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0,120</w:t>
                            </w:r>
                          </w:p>
                        </w:tc>
                      </w:tr>
                      <w:tr w:rsidR="004371C2">
                        <w:trPr>
                          <w:trHeight w:val="255"/>
                          <w:jc w:val="center"/>
                        </w:trPr>
                        <w:tc>
                          <w:tcPr>
                            <w:tcW w:w="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81" w:name="__UnoMark__3474_1119847107"/>
                            <w:bookmarkStart w:id="82" w:name="__UnoMark__3475_1119847107"/>
                            <w:bookmarkEnd w:id="81"/>
                            <w:bookmarkEnd w:id="82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90.000,00 €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83" w:name="__UnoMark__3476_1119847107"/>
                            <w:bookmarkStart w:id="84" w:name="__UnoMark__3477_1119847107"/>
                            <w:bookmarkEnd w:id="83"/>
                            <w:bookmarkEnd w:id="84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0,130</w:t>
                            </w:r>
                          </w:p>
                        </w:tc>
                      </w:tr>
                      <w:tr w:rsidR="004371C2">
                        <w:trPr>
                          <w:trHeight w:val="255"/>
                          <w:jc w:val="center"/>
                        </w:trPr>
                        <w:tc>
                          <w:tcPr>
                            <w:tcW w:w="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FF6DF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85" w:name="__UnoMark__3478_1119847107"/>
                            <w:bookmarkEnd w:id="85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≥</w:t>
                            </w:r>
                            <w:bookmarkStart w:id="86" w:name="__UnoMark__3479_1119847107"/>
                            <w:bookmarkEnd w:id="86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 xml:space="preserve">100.000,00 € 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FF6DF"/>
                            <w:tcMar>
                              <w:left w:w="10" w:type="dxa"/>
                            </w:tcMar>
                            <w:vAlign w:val="center"/>
                          </w:tcPr>
                          <w:p w:rsidR="004371C2" w:rsidRDefault="00196DB1">
                            <w:pPr>
                              <w:spacing w:after="0"/>
                              <w:jc w:val="center"/>
                            </w:pPr>
                            <w:bookmarkStart w:id="87" w:name="__UnoMark__3480_1119847107"/>
                            <w:bookmarkEnd w:id="87"/>
                            <w:r>
                              <w:rPr>
                                <w:rFonts w:eastAsia="Times New Roman"/>
                                <w:color w:val="000000"/>
                                <w:sz w:val="15"/>
                                <w:szCs w:val="15"/>
                              </w:rPr>
                              <w:t>0,140</w:t>
                            </w:r>
                          </w:p>
                        </w:tc>
                      </w:tr>
                    </w:tbl>
                    <w:p w:rsidR="00000000" w:rsidRDefault="00196DB1"/>
                  </w:txbxContent>
                </v:textbox>
                <w10:wrap type="square"/>
              </v:shape>
            </w:pict>
          </mc:Fallback>
        </mc:AlternateContent>
      </w:r>
    </w:p>
    <w:p w:rsidR="004371C2" w:rsidRDefault="004371C2">
      <w:pPr>
        <w:pStyle w:val="western"/>
        <w:spacing w:before="57" w:beforeAutospacing="0" w:after="113" w:line="360" w:lineRule="auto"/>
        <w:rPr>
          <w:color w:val="00000A"/>
        </w:rPr>
      </w:pPr>
    </w:p>
    <w:p w:rsidR="004371C2" w:rsidRDefault="004371C2">
      <w:pPr>
        <w:pStyle w:val="western"/>
        <w:spacing w:before="57" w:beforeAutospacing="0" w:after="113" w:line="360" w:lineRule="auto"/>
        <w:rPr>
          <w:color w:val="00000A"/>
        </w:rPr>
      </w:pPr>
    </w:p>
    <w:p w:rsidR="004371C2" w:rsidRDefault="004371C2">
      <w:pPr>
        <w:pStyle w:val="western"/>
        <w:spacing w:before="57" w:beforeAutospacing="0" w:after="113" w:line="360" w:lineRule="auto"/>
        <w:rPr>
          <w:color w:val="00000A"/>
        </w:rPr>
      </w:pPr>
    </w:p>
    <w:p w:rsidR="004371C2" w:rsidRDefault="004371C2">
      <w:pPr>
        <w:pStyle w:val="western"/>
        <w:spacing w:before="57" w:beforeAutospacing="0" w:after="113" w:line="360" w:lineRule="auto"/>
        <w:rPr>
          <w:color w:val="00000A"/>
        </w:rPr>
      </w:pPr>
    </w:p>
    <w:p w:rsidR="004371C2" w:rsidRDefault="004371C2">
      <w:pPr>
        <w:pStyle w:val="western"/>
        <w:spacing w:before="57" w:beforeAutospacing="0" w:after="113" w:line="360" w:lineRule="auto"/>
        <w:rPr>
          <w:color w:val="00000A"/>
        </w:rPr>
      </w:pPr>
    </w:p>
    <w:p w:rsidR="004371C2" w:rsidRDefault="004371C2">
      <w:pPr>
        <w:pStyle w:val="western"/>
        <w:spacing w:before="57" w:beforeAutospacing="0" w:after="113" w:line="360" w:lineRule="auto"/>
        <w:rPr>
          <w:color w:val="00000A"/>
        </w:rPr>
      </w:pPr>
    </w:p>
    <w:p w:rsidR="004371C2" w:rsidRDefault="004371C2">
      <w:pPr>
        <w:tabs>
          <w:tab w:val="left" w:pos="855"/>
        </w:tabs>
        <w:spacing w:before="113" w:after="113" w:line="360" w:lineRule="auto"/>
        <w:ind w:left="-284"/>
        <w:jc w:val="both"/>
        <w:rPr>
          <w:rStyle w:val="Fuentedeprrafopredeter1"/>
          <w:rFonts w:cs="Calibri"/>
          <w:sz w:val="20"/>
          <w:szCs w:val="20"/>
        </w:rPr>
      </w:pPr>
    </w:p>
    <w:p w:rsidR="004371C2" w:rsidRDefault="00196DB1">
      <w:pPr>
        <w:tabs>
          <w:tab w:val="left" w:pos="855"/>
        </w:tabs>
        <w:spacing w:before="113" w:after="113" w:line="360" w:lineRule="auto"/>
        <w:ind w:left="-284"/>
        <w:jc w:val="both"/>
      </w:pPr>
      <w:r>
        <w:rPr>
          <w:rStyle w:val="Fuentedeprrafopredeter1"/>
          <w:rFonts w:cs="Calibri"/>
          <w:sz w:val="20"/>
          <w:szCs w:val="20"/>
        </w:rPr>
        <w:t>O período para computar a determinación da capacidade económica será o último exercicio fiscal pechado. Non obstante, cando a capacidade económica da persoa usuaria só proveña da percepción de pensións, prestacións públicas o período que se computará na sú</w:t>
      </w:r>
      <w:r>
        <w:rPr>
          <w:rStyle w:val="Fuentedeprrafopredeter1"/>
          <w:rFonts w:cs="Calibri"/>
          <w:sz w:val="20"/>
          <w:szCs w:val="20"/>
        </w:rPr>
        <w:t xml:space="preserve">a determinación será o correspondente ao exercicio en que se presente a solicitude. </w:t>
      </w:r>
    </w:p>
    <w:p w:rsidR="004371C2" w:rsidRDefault="00196DB1">
      <w:pPr>
        <w:tabs>
          <w:tab w:val="left" w:pos="855"/>
        </w:tabs>
        <w:spacing w:before="113" w:after="113" w:line="360" w:lineRule="auto"/>
        <w:ind w:left="-284"/>
        <w:jc w:val="both"/>
        <w:rPr>
          <w:sz w:val="20"/>
          <w:szCs w:val="20"/>
        </w:rPr>
      </w:pPr>
      <w:r>
        <w:rPr>
          <w:rStyle w:val="Fuentedeprrafopredeter1"/>
          <w:rFonts w:cs="Calibri"/>
          <w:bCs/>
          <w:sz w:val="20"/>
          <w:szCs w:val="20"/>
        </w:rPr>
        <w:t>4.2. Normas de valoración para o cálculo da capacidade económica.</w:t>
      </w:r>
    </w:p>
    <w:p w:rsidR="004371C2" w:rsidRDefault="00196DB1">
      <w:pPr>
        <w:pStyle w:val="Prrafodelista"/>
        <w:suppressAutoHyphens/>
        <w:spacing w:before="113" w:after="113" w:line="360" w:lineRule="auto"/>
        <w:ind w:left="-284"/>
        <w:jc w:val="both"/>
        <w:rPr>
          <w:sz w:val="20"/>
          <w:szCs w:val="20"/>
        </w:rPr>
      </w:pPr>
      <w:r>
        <w:rPr>
          <w:rStyle w:val="Fuentedeprrafopredeter1"/>
          <w:rFonts w:cs="Calibri"/>
          <w:b/>
          <w:sz w:val="20"/>
          <w:szCs w:val="20"/>
        </w:rPr>
        <w:t>a. Ingresos:</w:t>
      </w:r>
      <w:r>
        <w:rPr>
          <w:rStyle w:val="Fuentedeprrafopredeter1"/>
          <w:rFonts w:cs="Calibri"/>
          <w:sz w:val="20"/>
          <w:szCs w:val="20"/>
        </w:rPr>
        <w:t xml:space="preserve"> Considéranse a totalidade dos ingresos calquera que sexa a fonte de procedencia, derivados directa ou indirectamente do traballo persoal, dos bens e dereitos integrantes do seu patrimonio, das pensións e/ou prestacións, e do exercicio de actividades econó</w:t>
      </w:r>
      <w:r>
        <w:rPr>
          <w:rStyle w:val="Fuentedeprrafopredeter1"/>
          <w:rFonts w:cs="Calibri"/>
          <w:sz w:val="20"/>
          <w:szCs w:val="20"/>
        </w:rPr>
        <w:t>micas, así como os que se obteñan como consecuencia dunha alteración na composición do patrimonio.</w:t>
      </w:r>
      <w:r>
        <w:rPr>
          <w:rStyle w:val="Fuentedeprrafopredeter1"/>
          <w:sz w:val="20"/>
          <w:szCs w:val="20"/>
        </w:rPr>
        <w:t xml:space="preserve"> </w:t>
      </w:r>
    </w:p>
    <w:p w:rsidR="004371C2" w:rsidRDefault="00196DB1">
      <w:pPr>
        <w:spacing w:before="113" w:after="113" w:line="360" w:lineRule="auto"/>
        <w:ind w:left="-284"/>
        <w:jc w:val="both"/>
        <w:rPr>
          <w:sz w:val="20"/>
          <w:szCs w:val="20"/>
        </w:rPr>
      </w:pPr>
      <w:r>
        <w:rPr>
          <w:rStyle w:val="Fuentedeprrafopredeter1"/>
          <w:rFonts w:cs="Calibri"/>
          <w:sz w:val="20"/>
          <w:szCs w:val="20"/>
        </w:rPr>
        <w:t xml:space="preserve">Non serán obxecto de cómputo, para os efectos da determinación da capacidade económica da persoa usuaria, as axudas económicas establecidas na Lei 11/2007, </w:t>
      </w:r>
      <w:r>
        <w:rPr>
          <w:rStyle w:val="Fuentedeprrafopredeter1"/>
          <w:rFonts w:cs="Calibri"/>
          <w:sz w:val="20"/>
          <w:szCs w:val="20"/>
        </w:rPr>
        <w:t xml:space="preserve">do 27 de xullo, galega para a prevención e </w:t>
      </w:r>
      <w:r>
        <w:rPr>
          <w:rStyle w:val="Fuentedeprrafopredeter1"/>
          <w:rFonts w:cs="Calibri"/>
          <w:sz w:val="20"/>
          <w:szCs w:val="20"/>
        </w:rPr>
        <w:lastRenderedPageBreak/>
        <w:t>tratamento integral da violencia de xénero, nin as recollidas no artigo 27 da Lei orgánica 1/2004, do 28 de decembro, de medidas de protección integral contra la violencia de xénero.</w:t>
      </w:r>
    </w:p>
    <w:p w:rsidR="004371C2" w:rsidRDefault="00196DB1">
      <w:pPr>
        <w:spacing w:before="113" w:after="113" w:line="360" w:lineRule="auto"/>
        <w:ind w:left="-284"/>
        <w:jc w:val="both"/>
        <w:rPr>
          <w:sz w:val="20"/>
          <w:szCs w:val="20"/>
        </w:rPr>
      </w:pPr>
      <w:r>
        <w:rPr>
          <w:rStyle w:val="Fuentedeprrafopredeter1"/>
          <w:rFonts w:cs="Calibri"/>
          <w:sz w:val="20"/>
          <w:szCs w:val="20"/>
        </w:rPr>
        <w:t>Cando a persoa usuaria opte po</w:t>
      </w:r>
      <w:r>
        <w:rPr>
          <w:rStyle w:val="Fuentedeprrafopredeter1"/>
          <w:rFonts w:cs="Calibri"/>
          <w:sz w:val="20"/>
          <w:szCs w:val="20"/>
        </w:rPr>
        <w:t>r presentar a declaración do imposto sobre a renda das persoas físicas de forma conxunta, a súa renda final virá determinada polo cociente de dividir entre dous a suma dos ingresos de ambos os dous membros da parella.</w:t>
      </w:r>
    </w:p>
    <w:p w:rsidR="004371C2" w:rsidRDefault="00196DB1">
      <w:pPr>
        <w:pStyle w:val="Prrafodelista"/>
        <w:tabs>
          <w:tab w:val="left" w:pos="0"/>
        </w:tabs>
        <w:suppressAutoHyphens/>
        <w:spacing w:before="113" w:after="113" w:line="360" w:lineRule="auto"/>
        <w:ind w:left="-284"/>
        <w:jc w:val="both"/>
        <w:rPr>
          <w:sz w:val="20"/>
          <w:szCs w:val="20"/>
        </w:rPr>
      </w:pPr>
      <w:r>
        <w:rPr>
          <w:rStyle w:val="Fuentedeprrafopredeter1"/>
          <w:rFonts w:cs="Calibri"/>
          <w:b/>
          <w:sz w:val="20"/>
          <w:szCs w:val="20"/>
        </w:rPr>
        <w:t>b.Bens patrimoniais:</w:t>
      </w:r>
      <w:r>
        <w:rPr>
          <w:rStyle w:val="Fuentedeprrafopredeter1"/>
          <w:rFonts w:cs="Calibri"/>
          <w:sz w:val="20"/>
          <w:szCs w:val="20"/>
        </w:rPr>
        <w:t xml:space="preserve"> Computaranse o co</w:t>
      </w:r>
      <w:r>
        <w:rPr>
          <w:rStyle w:val="Fuentedeprrafopredeter1"/>
          <w:rFonts w:cs="Calibri"/>
          <w:sz w:val="20"/>
          <w:szCs w:val="20"/>
        </w:rPr>
        <w:t>nxunto de bens e dereitos de contido económico titularidade da persoa usuaria, con dedución das cargas e gravames de natureza real que diminúan o seu valor, así como das débedas e obrigas persoais das cales deba responder, depósitos ou imposicións bancaria</w:t>
      </w:r>
      <w:r>
        <w:rPr>
          <w:rStyle w:val="Fuentedeprrafopredeter1"/>
          <w:rFonts w:cs="Calibri"/>
          <w:sz w:val="20"/>
          <w:szCs w:val="20"/>
        </w:rPr>
        <w:t>s, contas correntes ou de aforro, fondos de inversión ou instrumentos similares de colocación de efectivo. Terán a consideración de bens patrimoniais para os efectos deste artigo, ademais dos relativos a colocación de efectivo, os bens mobles ou inmobles s</w:t>
      </w:r>
      <w:r>
        <w:rPr>
          <w:rStyle w:val="Fuentedeprrafopredeter1"/>
          <w:rFonts w:cs="Calibri"/>
          <w:sz w:val="20"/>
          <w:szCs w:val="20"/>
        </w:rPr>
        <w:t xml:space="preserve">obre os cales se posúa un dereito de propiedade, posesión ou calquera outro de análoga natureza. Para a tradución económica destes inmobles atenderase ao seu valor catastral. </w:t>
      </w:r>
    </w:p>
    <w:p w:rsidR="004371C2" w:rsidRDefault="00196DB1">
      <w:pPr>
        <w:tabs>
          <w:tab w:val="left" w:pos="0"/>
        </w:tabs>
        <w:spacing w:before="113" w:after="113" w:line="360" w:lineRule="auto"/>
        <w:ind w:left="-284"/>
        <w:jc w:val="both"/>
        <w:rPr>
          <w:rStyle w:val="Fuentedeprrafopredeter1"/>
          <w:rFonts w:cs="Calibri"/>
          <w:sz w:val="20"/>
          <w:szCs w:val="20"/>
        </w:rPr>
      </w:pPr>
      <w:r>
        <w:rPr>
          <w:rStyle w:val="Fuentedeprrafopredeter1"/>
          <w:rFonts w:cs="Calibri"/>
          <w:sz w:val="20"/>
          <w:szCs w:val="20"/>
        </w:rPr>
        <w:t>A vivenda habitual non se computará a estes efectos.</w:t>
      </w:r>
    </w:p>
    <w:p w:rsidR="004371C2" w:rsidRDefault="00196DB1">
      <w:pPr>
        <w:tabs>
          <w:tab w:val="left" w:pos="0"/>
        </w:tabs>
        <w:spacing w:before="113" w:after="113" w:line="360" w:lineRule="auto"/>
        <w:ind w:left="-284"/>
        <w:jc w:val="both"/>
        <w:rPr>
          <w:sz w:val="20"/>
          <w:szCs w:val="20"/>
        </w:rPr>
      </w:pPr>
      <w:r>
        <w:rPr>
          <w:rStyle w:val="Fuentedeprrafopredeter1"/>
          <w:rFonts w:cs="Calibri"/>
          <w:sz w:val="20"/>
          <w:szCs w:val="20"/>
        </w:rPr>
        <w:t>Para os efectos da valoraci</w:t>
      </w:r>
      <w:r>
        <w:rPr>
          <w:rStyle w:val="Fuentedeprrafopredeter1"/>
          <w:rFonts w:cs="Calibri"/>
          <w:sz w:val="20"/>
          <w:szCs w:val="20"/>
        </w:rPr>
        <w:t>ón de patrimonio, non se computarán na determinación do patrimonio nin o enxoval doméstico nin os bens e dereitos achegados a un patrimonio especialmente protexido dos regulados pola Lei 41/2003, do 18 de novembro, de protección patrimonial das persoas con</w:t>
      </w:r>
      <w:r>
        <w:rPr>
          <w:rStyle w:val="Fuentedeprrafopredeter1"/>
          <w:rFonts w:cs="Calibri"/>
          <w:sz w:val="20"/>
          <w:szCs w:val="20"/>
        </w:rPr>
        <w:t xml:space="preserve"> discapacidade e con modificación da capacidade de obrar regulado no Código Civil, Lei de axuizamento civil e na normativa tributaria con esta finalidade, do que sexa titular a persoa usuaria, mentres persista tal afección. Non obstante, si se computarán n</w:t>
      </w:r>
      <w:r>
        <w:rPr>
          <w:rStyle w:val="Fuentedeprrafopredeter1"/>
          <w:rFonts w:cs="Calibri"/>
          <w:sz w:val="20"/>
          <w:szCs w:val="20"/>
        </w:rPr>
        <w:t>a valoración da renda as derivadas de dito patrimonio, que non se integren nel.</w:t>
      </w:r>
    </w:p>
    <w:p w:rsidR="004371C2" w:rsidRDefault="00196DB1">
      <w:pPr>
        <w:tabs>
          <w:tab w:val="left" w:pos="0"/>
        </w:tabs>
        <w:spacing w:before="113" w:after="113" w:line="360" w:lineRule="auto"/>
        <w:ind w:left="-284"/>
        <w:jc w:val="both"/>
        <w:rPr>
          <w:sz w:val="20"/>
          <w:szCs w:val="20"/>
        </w:rPr>
      </w:pPr>
      <w:r>
        <w:rPr>
          <w:rStyle w:val="Fuentedeprrafopredeter1"/>
          <w:rFonts w:cs="Calibri"/>
          <w:sz w:val="20"/>
          <w:szCs w:val="20"/>
        </w:rPr>
        <w:t>En todo caso, computaranse as disposicións patrimoniais realizadas pola persoa usuaria nos catro anos anteriores á presentación da solicitude, tanto se son a título oneroso com</w:t>
      </w:r>
      <w:r>
        <w:rPr>
          <w:rStyle w:val="Fuentedeprrafopredeter1"/>
          <w:rFonts w:cs="Calibri"/>
          <w:sz w:val="20"/>
          <w:szCs w:val="20"/>
        </w:rPr>
        <w:t xml:space="preserve">o gratuíto, a favor do cónxuxe, persoa con análoga relación de afectividade ao cónxuxe ou parentes ata o cuarto grao inclusive, </w:t>
      </w:r>
      <w:r>
        <w:rPr>
          <w:rFonts w:cs="Calibri"/>
          <w:sz w:val="20"/>
          <w:szCs w:val="20"/>
        </w:rPr>
        <w:t>nos termos e segundo as normas contidas na disposición adicional quinta da Lei 41/2007, do 7 de decembro, pola que se modifica a</w:t>
      </w:r>
      <w:r>
        <w:rPr>
          <w:rFonts w:cs="Calibri"/>
          <w:sz w:val="20"/>
          <w:szCs w:val="20"/>
        </w:rPr>
        <w:t xml:space="preserve"> Lei 2/1981, do 25 de marzo, de regulación do mercado hipotecario e outras normas do sistema hipotecario e financeiro, de regulación das hipotecas inversas e o seguro de dependencia e pola que se establece determinada norma tributaria.</w:t>
      </w:r>
    </w:p>
    <w:p w:rsidR="004371C2" w:rsidRDefault="00196DB1">
      <w:pPr>
        <w:tabs>
          <w:tab w:val="left" w:pos="855"/>
        </w:tabs>
        <w:spacing w:before="113" w:after="113" w:line="360" w:lineRule="auto"/>
        <w:ind w:left="-284"/>
        <w:jc w:val="both"/>
        <w:rPr>
          <w:sz w:val="20"/>
          <w:szCs w:val="20"/>
        </w:rPr>
      </w:pPr>
      <w:r>
        <w:rPr>
          <w:rStyle w:val="Fuentedeprrafopredeter1"/>
          <w:rFonts w:cs="Calibri"/>
          <w:bCs/>
          <w:sz w:val="20"/>
          <w:szCs w:val="20"/>
        </w:rPr>
        <w:t>4.3. Procedemento pa</w:t>
      </w:r>
      <w:r>
        <w:rPr>
          <w:rStyle w:val="Fuentedeprrafopredeter1"/>
          <w:rFonts w:cs="Calibri"/>
          <w:bCs/>
          <w:sz w:val="20"/>
          <w:szCs w:val="20"/>
        </w:rPr>
        <w:t>ra a actualización ou modificación da capacidade económica.</w:t>
      </w:r>
    </w:p>
    <w:p w:rsidR="004371C2" w:rsidRDefault="00196DB1">
      <w:pPr>
        <w:pStyle w:val="Prrafodelista"/>
        <w:numPr>
          <w:ilvl w:val="0"/>
          <w:numId w:val="5"/>
        </w:numPr>
        <w:suppressAutoHyphens/>
        <w:spacing w:before="113" w:after="113" w:line="360" w:lineRule="auto"/>
        <w:jc w:val="both"/>
        <w:rPr>
          <w:sz w:val="20"/>
          <w:szCs w:val="20"/>
        </w:rPr>
      </w:pPr>
      <w:r>
        <w:rPr>
          <w:rStyle w:val="Fuentedeprrafopredeter1"/>
          <w:rFonts w:cs="Calibri"/>
          <w:sz w:val="20"/>
          <w:szCs w:val="20"/>
        </w:rPr>
        <w:t>Como prazo máximo, no terceiro trimestre de cada ano, a persoa responsable do centro, procederá de oficio a revisar a capacidade económica de cada usuario/a, tomando en consideración os datos econ</w:t>
      </w:r>
      <w:r>
        <w:rPr>
          <w:rStyle w:val="Fuentedeprrafopredeter1"/>
          <w:rFonts w:cs="Calibri"/>
          <w:sz w:val="20"/>
          <w:szCs w:val="20"/>
        </w:rPr>
        <w:t>ómicos subministrados pola Axencia Estatal de Administración Tributaria e outros Organismos Públicos, relativa ó último exercicio dispoñible. Non obstante, cando a capacidade económica da persoa usuaria só proveña da percepción de pensións, prestacións púb</w:t>
      </w:r>
      <w:r>
        <w:rPr>
          <w:rStyle w:val="Fuentedeprrafopredeter1"/>
          <w:rFonts w:cs="Calibri"/>
          <w:sz w:val="20"/>
          <w:szCs w:val="20"/>
        </w:rPr>
        <w:t>licas o período que se computará na súa determinación será o correspondente ao ano en curso. En todo caso a nova participación, aplicarase a 1 de xullo do mesmo.</w:t>
      </w:r>
    </w:p>
    <w:p w:rsidR="004371C2" w:rsidRDefault="00196DB1">
      <w:pPr>
        <w:pStyle w:val="Prrafodelista"/>
        <w:numPr>
          <w:ilvl w:val="0"/>
          <w:numId w:val="5"/>
        </w:numPr>
        <w:suppressAutoHyphens/>
        <w:spacing w:before="113" w:after="113" w:line="360" w:lineRule="auto"/>
        <w:jc w:val="both"/>
        <w:rPr>
          <w:rStyle w:val="Fuentedeprrafopredeter1"/>
          <w:sz w:val="20"/>
          <w:szCs w:val="20"/>
        </w:rPr>
      </w:pPr>
      <w:r>
        <w:rPr>
          <w:rStyle w:val="Fuentedeprrafopredeter1"/>
          <w:rFonts w:cs="Calibri"/>
          <w:sz w:val="20"/>
          <w:szCs w:val="20"/>
        </w:rPr>
        <w:lastRenderedPageBreak/>
        <w:t>Independentemente do reflectido no apartado anterior, calquera alteración substancial da capac</w:t>
      </w:r>
      <w:r>
        <w:rPr>
          <w:rStyle w:val="Fuentedeprrafopredeter1"/>
          <w:rFonts w:cs="Calibri"/>
          <w:sz w:val="20"/>
          <w:szCs w:val="20"/>
        </w:rPr>
        <w:t xml:space="preserve">idade económica da persoa beneficiaria derivada da modificación das prestacións periódicas que perciba, determinará unha revisión da mesma e da </w:t>
      </w:r>
      <w:proofErr w:type="spellStart"/>
      <w:r>
        <w:rPr>
          <w:rStyle w:val="Fuentedeprrafopredeter1"/>
          <w:rFonts w:cs="Calibri"/>
          <w:sz w:val="20"/>
          <w:szCs w:val="20"/>
        </w:rPr>
        <w:t>aportación</w:t>
      </w:r>
      <w:proofErr w:type="spellEnd"/>
      <w:r>
        <w:rPr>
          <w:rStyle w:val="Fuentedeprrafopredeter1"/>
          <w:rFonts w:cs="Calibri"/>
          <w:sz w:val="20"/>
          <w:szCs w:val="20"/>
        </w:rPr>
        <w:t xml:space="preserve"> para o pago dos servizos con efectos a partir do primeiro día do mes seguinte da revisión. A tal efec</w:t>
      </w:r>
      <w:r>
        <w:rPr>
          <w:rStyle w:val="Fuentedeprrafopredeter1"/>
          <w:rFonts w:cs="Calibri"/>
          <w:sz w:val="20"/>
          <w:szCs w:val="20"/>
        </w:rPr>
        <w:t>to, a persoa beneficiaria deberá comunicar ditos cambios a persoa responsable do centro, nun prazo máximo de 10 días a partir do momento no que se produzan. Procederase a establecer unha nova capacidade económica persoal estimada para o exercicio de refere</w:t>
      </w:r>
      <w:r>
        <w:rPr>
          <w:rStyle w:val="Fuentedeprrafopredeter1"/>
          <w:rFonts w:cs="Calibri"/>
          <w:sz w:val="20"/>
          <w:szCs w:val="20"/>
        </w:rPr>
        <w:t>ncia, para o que se tomará como ingresos por prestacións os que recibise a persoa interesada tendo en conta as novas contías, aplicando as normas xerais vixentes sobre revalorización de prestacións. Dita contía sumarase as rendas individuais doutra naturez</w:t>
      </w:r>
      <w:r>
        <w:rPr>
          <w:rStyle w:val="Fuentedeprrafopredeter1"/>
          <w:rFonts w:cs="Calibri"/>
          <w:sz w:val="20"/>
          <w:szCs w:val="20"/>
        </w:rPr>
        <w:t xml:space="preserve">a, acreditadas para dito exercicio, así como o valor patrimonial computable segundo os criterios establecidos con anterioridade. </w:t>
      </w:r>
    </w:p>
    <w:p w:rsidR="004371C2" w:rsidRDefault="00196DB1">
      <w:pPr>
        <w:pStyle w:val="Prrafodelista"/>
        <w:numPr>
          <w:ilvl w:val="0"/>
          <w:numId w:val="5"/>
        </w:numPr>
        <w:suppressAutoHyphens/>
        <w:spacing w:before="113" w:after="113" w:line="36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Unha vez realizada a nova valoración da capacidade económica e da nova participa</w:t>
      </w:r>
      <w:r>
        <w:rPr>
          <w:rFonts w:cs="Calibri"/>
          <w:sz w:val="20"/>
          <w:szCs w:val="20"/>
        </w:rPr>
        <w:softHyphen/>
        <w:t>ción no custo do servizo, produto da súa modi</w:t>
      </w:r>
      <w:r>
        <w:rPr>
          <w:rFonts w:cs="Calibri"/>
          <w:sz w:val="20"/>
          <w:szCs w:val="20"/>
        </w:rPr>
        <w:t>ficación,  o órgano competente que ditou a resolución de acceso ao servizo, ditará resolución de revisión da nova capacidade económica e por ende da  participación no custo do servizo, producindo efectos, desde a súa notificación e dando lugar a un novo pr</w:t>
      </w:r>
      <w:r>
        <w:rPr>
          <w:rFonts w:cs="Calibri"/>
          <w:sz w:val="20"/>
          <w:szCs w:val="20"/>
        </w:rPr>
        <w:t xml:space="preserve">ezo público para a persoa usuaria. </w:t>
      </w:r>
    </w:p>
    <w:p w:rsidR="004371C2" w:rsidRDefault="004371C2">
      <w:pPr>
        <w:pStyle w:val="Prrafodelista"/>
        <w:suppressAutoHyphens/>
        <w:spacing w:before="113" w:after="113" w:line="360" w:lineRule="auto"/>
        <w:ind w:left="436"/>
        <w:jc w:val="both"/>
        <w:rPr>
          <w:sz w:val="20"/>
          <w:szCs w:val="20"/>
        </w:rPr>
      </w:pPr>
    </w:p>
    <w:p w:rsidR="004371C2" w:rsidRDefault="00196DB1">
      <w:pPr>
        <w:pStyle w:val="Prrafodelista"/>
        <w:spacing w:before="113" w:after="113" w:line="360" w:lineRule="auto"/>
        <w:ind w:left="-284"/>
        <w:jc w:val="both"/>
        <w:rPr>
          <w:sz w:val="20"/>
          <w:szCs w:val="20"/>
        </w:rPr>
      </w:pPr>
      <w:r>
        <w:rPr>
          <w:rFonts w:eastAsia="Times New Roman" w:cs="Arial"/>
          <w:b/>
          <w:sz w:val="20"/>
          <w:szCs w:val="20"/>
          <w:lang w:eastAsia="es-ES"/>
        </w:rPr>
        <w:t xml:space="preserve">Artigo 5. </w:t>
      </w:r>
      <w:r>
        <w:rPr>
          <w:rFonts w:cs="Arial"/>
          <w:b/>
          <w:bCs/>
          <w:sz w:val="20"/>
          <w:szCs w:val="20"/>
        </w:rPr>
        <w:t>Mínimos vitais</w:t>
      </w:r>
    </w:p>
    <w:p w:rsidR="004371C2" w:rsidRDefault="00196DB1">
      <w:pPr>
        <w:tabs>
          <w:tab w:val="left" w:pos="284"/>
        </w:tabs>
        <w:spacing w:before="113" w:after="113" w:line="360" w:lineRule="auto"/>
        <w:ind w:left="-284"/>
        <w:jc w:val="both"/>
        <w:rPr>
          <w:rStyle w:val="Fuentedeprrafopredeter1"/>
          <w:rFonts w:cs="Calibri"/>
          <w:sz w:val="20"/>
          <w:szCs w:val="20"/>
        </w:rPr>
      </w:pPr>
      <w:r>
        <w:rPr>
          <w:rStyle w:val="Fuentedeprrafopredeter1"/>
          <w:rFonts w:cs="Calibri"/>
          <w:sz w:val="20"/>
          <w:szCs w:val="20"/>
        </w:rPr>
        <w:t>Con independencia do importe a aboar polo custo dos servizos, derivada da capacidade económica da persoa usuaria, garantirase unha contía mínima para gastos persoais que quedarán integramente á disposición do seu perceptor/a calculada en función dos seus i</w:t>
      </w:r>
      <w:r>
        <w:rPr>
          <w:rStyle w:val="Fuentedeprrafopredeter1"/>
          <w:rFonts w:cs="Calibri"/>
          <w:sz w:val="20"/>
          <w:szCs w:val="20"/>
        </w:rPr>
        <w:t xml:space="preserve">ngresos e determinada segundo as seguintes consideracións a aplicar: </w:t>
      </w:r>
    </w:p>
    <w:p w:rsidR="004371C2" w:rsidRDefault="00196DB1">
      <w:pPr>
        <w:pStyle w:val="Prrafodelista"/>
        <w:numPr>
          <w:ilvl w:val="3"/>
          <w:numId w:val="5"/>
        </w:numPr>
        <w:tabs>
          <w:tab w:val="left" w:pos="284"/>
        </w:tabs>
        <w:spacing w:before="113" w:after="113" w:line="360" w:lineRule="auto"/>
        <w:ind w:left="284" w:hanging="568"/>
        <w:jc w:val="both"/>
        <w:rPr>
          <w:rFonts w:cs="Calibri"/>
          <w:sz w:val="20"/>
          <w:szCs w:val="20"/>
        </w:rPr>
      </w:pPr>
      <w:r>
        <w:rPr>
          <w:color w:val="000000"/>
          <w:sz w:val="20"/>
          <w:szCs w:val="20"/>
        </w:rPr>
        <w:t xml:space="preserve">Mínimo Vital Ingresos </w:t>
      </w:r>
      <w:proofErr w:type="spellStart"/>
      <w:r>
        <w:rPr>
          <w:b/>
          <w:bCs/>
          <w:color w:val="000000"/>
          <w:sz w:val="20"/>
          <w:szCs w:val="20"/>
        </w:rPr>
        <w:t>Mv</w:t>
      </w:r>
      <w:r>
        <w:rPr>
          <w:b/>
          <w:bCs/>
          <w:color w:val="000000"/>
          <w:sz w:val="20"/>
          <w:szCs w:val="20"/>
          <w:vertAlign w:val="subscript"/>
        </w:rPr>
        <w:t>i</w:t>
      </w:r>
      <w:proofErr w:type="spellEnd"/>
      <w:r>
        <w:rPr>
          <w:color w:val="000000"/>
          <w:sz w:val="20"/>
          <w:szCs w:val="20"/>
        </w:rPr>
        <w:t>: calcularase aplicando unha porcentaxe equivalente ao 50% dos ingresos líquidos derivados de tódalas pensións e/ou prestacións periódicas percibidas (</w:t>
      </w:r>
      <w:r>
        <w:rPr>
          <w:b/>
          <w:bCs/>
          <w:color w:val="000000"/>
          <w:sz w:val="20"/>
          <w:szCs w:val="20"/>
        </w:rPr>
        <w:t>Tp</w:t>
      </w:r>
      <w:r>
        <w:rPr>
          <w:color w:val="000000"/>
          <w:sz w:val="20"/>
          <w:szCs w:val="20"/>
        </w:rPr>
        <w:t>), calcu</w:t>
      </w:r>
      <w:r>
        <w:rPr>
          <w:color w:val="000000"/>
          <w:sz w:val="20"/>
          <w:szCs w:val="20"/>
        </w:rPr>
        <w:t xml:space="preserve">lados en cómputo mensual </w:t>
      </w:r>
      <w:r>
        <w:rPr>
          <w:b/>
          <w:bCs/>
          <w:color w:val="000000"/>
          <w:sz w:val="20"/>
          <w:szCs w:val="20"/>
        </w:rPr>
        <w:t>(</w:t>
      </w:r>
      <w:proofErr w:type="spellStart"/>
      <w:r>
        <w:rPr>
          <w:b/>
          <w:bCs/>
          <w:color w:val="000000"/>
          <w:sz w:val="20"/>
          <w:szCs w:val="20"/>
        </w:rPr>
        <w:t>Tp</w:t>
      </w:r>
      <w:r>
        <w:rPr>
          <w:b/>
          <w:bCs/>
          <w:color w:val="000000"/>
          <w:sz w:val="20"/>
          <w:szCs w:val="20"/>
          <w:vertAlign w:val="subscript"/>
        </w:rPr>
        <w:t>m</w:t>
      </w:r>
      <w:proofErr w:type="spellEnd"/>
      <w:r>
        <w:rPr>
          <w:b/>
          <w:bCs/>
          <w:color w:val="000000"/>
          <w:sz w:val="20"/>
          <w:szCs w:val="20"/>
        </w:rPr>
        <w:t>)</w:t>
      </w:r>
      <w:r>
        <w:rPr>
          <w:b/>
          <w:bCs/>
          <w:color w:val="000000"/>
          <w:sz w:val="20"/>
          <w:szCs w:val="20"/>
          <w:vertAlign w:val="subscript"/>
        </w:rPr>
        <w:t xml:space="preserve"> </w:t>
      </w:r>
    </w:p>
    <w:p w:rsidR="004371C2" w:rsidRDefault="00196DB1">
      <w:pPr>
        <w:pStyle w:val="NormalWeb"/>
        <w:spacing w:before="57" w:beforeAutospacing="0" w:after="113" w:line="360" w:lineRule="auto"/>
        <w:jc w:val="center"/>
        <w:rPr>
          <w:lang w:val="en-US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gl-ES"/>
        </w:rPr>
        <w:t>Tp</w:t>
      </w:r>
      <w:r>
        <w:rPr>
          <w:rFonts w:ascii="Calibri" w:hAnsi="Calibri"/>
          <w:b/>
          <w:bCs/>
          <w:sz w:val="20"/>
          <w:szCs w:val="20"/>
          <w:vertAlign w:val="subscript"/>
          <w:lang w:val="gl-ES"/>
        </w:rPr>
        <w:t>m</w:t>
      </w:r>
      <w:proofErr w:type="spellEnd"/>
      <w:r>
        <w:rPr>
          <w:rFonts w:ascii="Calibri" w:hAnsi="Calibri"/>
          <w:b/>
          <w:bCs/>
          <w:sz w:val="20"/>
          <w:szCs w:val="20"/>
          <w:vertAlign w:val="subscript"/>
          <w:lang w:val="gl-ES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gl-ES"/>
        </w:rPr>
        <w:t>= Tp/12</w:t>
      </w:r>
    </w:p>
    <w:p w:rsidR="004371C2" w:rsidRDefault="00196DB1">
      <w:pPr>
        <w:pStyle w:val="NormalWeb"/>
        <w:spacing w:before="57" w:beforeAutospacing="0" w:after="113" w:line="360" w:lineRule="auto"/>
        <w:jc w:val="center"/>
        <w:rPr>
          <w:lang w:val="en-US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gl-ES"/>
        </w:rPr>
        <w:t>Mv</w:t>
      </w:r>
      <w:r>
        <w:rPr>
          <w:rFonts w:ascii="Calibri" w:hAnsi="Calibri"/>
          <w:b/>
          <w:bCs/>
          <w:sz w:val="20"/>
          <w:szCs w:val="20"/>
          <w:vertAlign w:val="subscript"/>
          <w:lang w:val="gl-ES"/>
        </w:rPr>
        <w:t>i</w:t>
      </w:r>
      <w:proofErr w:type="spellEnd"/>
      <w:r>
        <w:rPr>
          <w:rFonts w:ascii="Calibri" w:hAnsi="Calibri"/>
          <w:b/>
          <w:bCs/>
          <w:sz w:val="20"/>
          <w:szCs w:val="20"/>
          <w:lang w:val="gl-ES"/>
        </w:rPr>
        <w:t xml:space="preserve">= ( </w:t>
      </w:r>
      <w:proofErr w:type="spellStart"/>
      <w:r>
        <w:rPr>
          <w:rFonts w:ascii="Calibri" w:hAnsi="Calibri"/>
          <w:b/>
          <w:bCs/>
          <w:sz w:val="20"/>
          <w:szCs w:val="20"/>
          <w:lang w:val="gl-ES"/>
        </w:rPr>
        <w:t>Tp</w:t>
      </w:r>
      <w:r>
        <w:rPr>
          <w:rFonts w:ascii="Calibri" w:hAnsi="Calibri"/>
          <w:b/>
          <w:bCs/>
          <w:sz w:val="20"/>
          <w:szCs w:val="20"/>
          <w:vertAlign w:val="subscript"/>
          <w:lang w:val="gl-ES"/>
        </w:rPr>
        <w:t>m</w:t>
      </w:r>
      <w:proofErr w:type="spellEnd"/>
      <w:r>
        <w:rPr>
          <w:rFonts w:ascii="Calibri" w:hAnsi="Calibri"/>
          <w:b/>
          <w:bCs/>
          <w:sz w:val="20"/>
          <w:szCs w:val="20"/>
          <w:vertAlign w:val="subscript"/>
          <w:lang w:val="gl-ES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gl-ES"/>
        </w:rPr>
        <w:t>x 0,50)</w:t>
      </w:r>
    </w:p>
    <w:p w:rsidR="004371C2" w:rsidRDefault="00196DB1">
      <w:pPr>
        <w:pStyle w:val="Prrafodelista"/>
        <w:numPr>
          <w:ilvl w:val="3"/>
          <w:numId w:val="5"/>
        </w:numPr>
        <w:tabs>
          <w:tab w:val="left" w:pos="284"/>
        </w:tabs>
        <w:spacing w:before="113" w:after="113" w:line="360" w:lineRule="auto"/>
        <w:ind w:left="284" w:hanging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mínimo vital de Ingresos </w:t>
      </w:r>
      <w:proofErr w:type="spellStart"/>
      <w:r>
        <w:rPr>
          <w:color w:val="000000"/>
          <w:sz w:val="20"/>
          <w:szCs w:val="20"/>
        </w:rPr>
        <w:t>Mvi</w:t>
      </w:r>
      <w:proofErr w:type="spellEnd"/>
      <w:r>
        <w:rPr>
          <w:color w:val="000000"/>
          <w:sz w:val="20"/>
          <w:szCs w:val="20"/>
        </w:rPr>
        <w:t xml:space="preserve">, minorarase pola Capacidade Patrimonial Mensual </w:t>
      </w:r>
      <w:r>
        <w:rPr>
          <w:b/>
          <w:color w:val="000000"/>
          <w:sz w:val="20"/>
          <w:szCs w:val="20"/>
        </w:rPr>
        <w:t>(</w:t>
      </w:r>
      <w:proofErr w:type="spellStart"/>
      <w:r>
        <w:rPr>
          <w:b/>
          <w:color w:val="000000"/>
          <w:sz w:val="20"/>
          <w:szCs w:val="20"/>
        </w:rPr>
        <w:t>Cpm</w:t>
      </w:r>
      <w:proofErr w:type="spellEnd"/>
      <w:r>
        <w:rPr>
          <w:b/>
          <w:color w:val="000000"/>
          <w:sz w:val="20"/>
          <w:szCs w:val="20"/>
        </w:rPr>
        <w:t>),</w:t>
      </w:r>
      <w:r>
        <w:rPr>
          <w:color w:val="000000"/>
          <w:sz w:val="20"/>
          <w:szCs w:val="20"/>
        </w:rPr>
        <w:t xml:space="preserve"> dando lugar ao Mínimo vital de capacidade patrimonial </w:t>
      </w:r>
      <w:proofErr w:type="spellStart"/>
      <w:r>
        <w:rPr>
          <w:b/>
          <w:color w:val="000000"/>
          <w:sz w:val="20"/>
          <w:szCs w:val="20"/>
        </w:rPr>
        <w:t>Mvcp</w:t>
      </w:r>
      <w:proofErr w:type="spellEnd"/>
      <w:r>
        <w:rPr>
          <w:b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A capacidade patrimonial mensual, será o resultado de multiplicar o patrimonio (P) a imputar polo coeficiente que lle corresponda na “Táboa de patrimonio progresiva” e dividido entre doce. </w:t>
      </w:r>
    </w:p>
    <w:p w:rsidR="004371C2" w:rsidRDefault="00196DB1">
      <w:pPr>
        <w:pStyle w:val="NormalWeb"/>
        <w:spacing w:before="57" w:beforeAutospacing="0" w:after="113" w:line="360" w:lineRule="auto"/>
        <w:ind w:left="720"/>
        <w:jc w:val="center"/>
      </w:pPr>
      <w:proofErr w:type="spellStart"/>
      <w:r>
        <w:rPr>
          <w:rFonts w:ascii="Calibri" w:hAnsi="Calibri"/>
          <w:b/>
          <w:bCs/>
          <w:color w:val="000000"/>
          <w:sz w:val="20"/>
          <w:szCs w:val="20"/>
          <w:lang w:val="gl-ES"/>
        </w:rPr>
        <w:t>Cp</w:t>
      </w:r>
      <w:r>
        <w:rPr>
          <w:rFonts w:ascii="Calibri" w:hAnsi="Calibri"/>
          <w:b/>
          <w:bCs/>
          <w:color w:val="000000"/>
          <w:sz w:val="20"/>
          <w:szCs w:val="20"/>
          <w:vertAlign w:val="subscript"/>
          <w:lang w:val="gl-ES"/>
        </w:rPr>
        <w:t>m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  <w:lang w:val="gl-ES"/>
        </w:rPr>
        <w:t xml:space="preserve"> = P x coeficiente progresivo patrimonio /12</w:t>
      </w:r>
    </w:p>
    <w:p w:rsidR="004371C2" w:rsidRDefault="00196DB1">
      <w:pPr>
        <w:pStyle w:val="NormalWeb"/>
        <w:spacing w:before="57" w:beforeAutospacing="0" w:after="113" w:line="360" w:lineRule="auto"/>
        <w:ind w:left="720"/>
        <w:jc w:val="center"/>
      </w:pPr>
      <w:proofErr w:type="spellStart"/>
      <w:r>
        <w:rPr>
          <w:rFonts w:ascii="Calibri" w:hAnsi="Calibri"/>
          <w:b/>
          <w:bCs/>
          <w:color w:val="000000"/>
          <w:sz w:val="20"/>
          <w:szCs w:val="20"/>
          <w:lang w:val="gl-ES"/>
        </w:rPr>
        <w:t>Mv</w:t>
      </w:r>
      <w:r>
        <w:rPr>
          <w:rFonts w:ascii="Calibri" w:hAnsi="Calibri"/>
          <w:b/>
          <w:bCs/>
          <w:color w:val="000000"/>
          <w:sz w:val="20"/>
          <w:szCs w:val="20"/>
          <w:vertAlign w:val="subscript"/>
          <w:lang w:val="gl-ES"/>
        </w:rPr>
        <w:t>cp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  <w:lang w:val="gl-ES"/>
        </w:rPr>
        <w:t xml:space="preserve">=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  <w:lang w:val="gl-ES"/>
        </w:rPr>
        <w:t>Mv</w:t>
      </w:r>
      <w:r>
        <w:rPr>
          <w:rFonts w:ascii="Calibri" w:hAnsi="Calibri"/>
          <w:b/>
          <w:bCs/>
          <w:color w:val="000000"/>
          <w:sz w:val="20"/>
          <w:szCs w:val="20"/>
          <w:vertAlign w:val="subscript"/>
          <w:lang w:val="gl-ES"/>
        </w:rPr>
        <w:t>i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  <w:vertAlign w:val="subscript"/>
          <w:lang w:val="gl-ES"/>
        </w:rPr>
        <w:t xml:space="preserve"> –</w:t>
      </w:r>
      <w:r>
        <w:rPr>
          <w:rFonts w:ascii="Calibri" w:hAnsi="Calibri"/>
          <w:b/>
          <w:bCs/>
          <w:color w:val="000000"/>
          <w:sz w:val="20"/>
          <w:szCs w:val="20"/>
          <w:lang w:val="gl-ES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  <w:lang w:val="gl-ES"/>
        </w:rPr>
        <w:t>Cp</w:t>
      </w:r>
      <w:r>
        <w:rPr>
          <w:rFonts w:ascii="Calibri" w:hAnsi="Calibri"/>
          <w:b/>
          <w:bCs/>
          <w:color w:val="000000"/>
          <w:sz w:val="20"/>
          <w:szCs w:val="20"/>
          <w:vertAlign w:val="subscript"/>
          <w:lang w:val="gl-ES"/>
        </w:rPr>
        <w:t>m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  <w:vertAlign w:val="subscript"/>
          <w:lang w:val="gl-ES"/>
        </w:rPr>
        <w:t xml:space="preserve">. </w:t>
      </w:r>
    </w:p>
    <w:p w:rsidR="004371C2" w:rsidRDefault="00196DB1">
      <w:pPr>
        <w:pStyle w:val="Prrafodelista"/>
        <w:numPr>
          <w:ilvl w:val="3"/>
          <w:numId w:val="5"/>
        </w:numPr>
        <w:tabs>
          <w:tab w:val="left" w:pos="284"/>
        </w:tabs>
        <w:spacing w:before="113" w:after="113" w:line="360" w:lineRule="auto"/>
        <w:ind w:left="284" w:hanging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 calquera caso, garantiráselle á persoa usuaria unha dispoñibilidade mínima equivalente ao 50% do importe do IPREM mensual.</w:t>
      </w:r>
    </w:p>
    <w:p w:rsidR="004371C2" w:rsidRDefault="00196DB1">
      <w:pPr>
        <w:spacing w:before="113" w:after="113" w:line="360" w:lineRule="auto"/>
        <w:ind w:left="-284"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b/>
          <w:sz w:val="20"/>
          <w:szCs w:val="20"/>
          <w:lang w:eastAsia="es-ES"/>
        </w:rPr>
        <w:lastRenderedPageBreak/>
        <w:t>Artigo 6.- Normas de xestión</w:t>
      </w:r>
    </w:p>
    <w:p w:rsidR="004371C2" w:rsidRDefault="00196DB1">
      <w:pPr>
        <w:pStyle w:val="Prrafodelista"/>
        <w:widowControl w:val="0"/>
        <w:numPr>
          <w:ilvl w:val="0"/>
          <w:numId w:val="4"/>
        </w:numPr>
        <w:spacing w:before="113" w:after="113" w:line="360" w:lineRule="auto"/>
        <w:ind w:left="0" w:hanging="340"/>
        <w:jc w:val="both"/>
        <w:textAlignment w:val="baseline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O procedemento para o acceso ao servizos e a determinación da capacidade económica en cada momento s</w:t>
      </w:r>
      <w:r>
        <w:rPr>
          <w:rFonts w:eastAsia="Times New Roman" w:cs="Arial"/>
          <w:sz w:val="20"/>
          <w:szCs w:val="20"/>
          <w:lang w:eastAsia="es-ES"/>
        </w:rPr>
        <w:t xml:space="preserve">erá o establecido na </w:t>
      </w:r>
      <w:r>
        <w:rPr>
          <w:rFonts w:eastAsia="Times New Roman" w:cs="Arial"/>
          <w:b/>
          <w:sz w:val="20"/>
          <w:szCs w:val="20"/>
          <w:lang w:eastAsia="es-ES"/>
        </w:rPr>
        <w:t xml:space="preserve">correspondente “Ordenanza para o acceso ao Servizo de atención residencial e Servizo de atención diúrna no centro de atención a persoas maiores </w:t>
      </w:r>
      <w:proofErr w:type="spellStart"/>
      <w:r>
        <w:rPr>
          <w:rFonts w:eastAsia="Times New Roman" w:cs="Arial"/>
          <w:b/>
          <w:sz w:val="20"/>
          <w:szCs w:val="20"/>
          <w:lang w:eastAsia="es-ES"/>
        </w:rPr>
        <w:t>de…</w:t>
      </w:r>
      <w:proofErr w:type="spellEnd"/>
      <w:r>
        <w:rPr>
          <w:rFonts w:eastAsia="Times New Roman" w:cs="Arial"/>
          <w:b/>
          <w:sz w:val="20"/>
          <w:szCs w:val="20"/>
          <w:lang w:eastAsia="es-ES"/>
        </w:rPr>
        <w:t>”</w:t>
      </w:r>
      <w:r>
        <w:rPr>
          <w:rFonts w:eastAsia="Times New Roman" w:cs="Arial"/>
          <w:sz w:val="20"/>
          <w:szCs w:val="20"/>
          <w:lang w:eastAsia="es-ES"/>
        </w:rPr>
        <w:t>. Do mesmo xeito os servizos a prestar, dereitos e deberes dos usuarios/as serán os rec</w:t>
      </w:r>
      <w:r>
        <w:rPr>
          <w:rFonts w:eastAsia="Times New Roman" w:cs="Arial"/>
          <w:sz w:val="20"/>
          <w:szCs w:val="20"/>
          <w:lang w:eastAsia="es-ES"/>
        </w:rPr>
        <w:t>ollidos nos Regulamentos de Réxime Interno dos Servizos do Centro.</w:t>
      </w:r>
    </w:p>
    <w:p w:rsidR="004371C2" w:rsidRDefault="00196DB1">
      <w:pPr>
        <w:pStyle w:val="Prrafodelista"/>
        <w:numPr>
          <w:ilvl w:val="0"/>
          <w:numId w:val="4"/>
        </w:numPr>
        <w:spacing w:before="113" w:after="113" w:line="360" w:lineRule="auto"/>
        <w:ind w:left="0" w:hanging="340"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es-ES"/>
        </w:rPr>
        <w:t>A obriga de pagamento nace dende que se inicia a prestación do servizo, é dicir, o día da ocupación efectiva da praza por parte da persoa usuaria, ou do día en que teña lugar a reincorporac</w:t>
      </w:r>
      <w:r>
        <w:rPr>
          <w:rFonts w:eastAsia="Times New Roman" w:cs="Arial"/>
          <w:sz w:val="20"/>
          <w:szCs w:val="20"/>
          <w:lang w:eastAsia="es-ES"/>
        </w:rPr>
        <w:t>ión ou alta como consecuencia dunha baixa xustificada e exenta de pagamento.</w:t>
      </w:r>
    </w:p>
    <w:p w:rsidR="004371C2" w:rsidRDefault="00196DB1">
      <w:pPr>
        <w:pStyle w:val="Prrafodelista"/>
        <w:numPr>
          <w:ilvl w:val="0"/>
          <w:numId w:val="4"/>
        </w:numPr>
        <w:spacing w:before="113" w:after="113" w:line="360" w:lineRule="auto"/>
        <w:ind w:left="0" w:hanging="340"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es-ES"/>
        </w:rPr>
        <w:t>O prezo do primeiro mes será liquidado por días cando a alta non se produza o primeiro día do mes.</w:t>
      </w:r>
    </w:p>
    <w:p w:rsidR="004371C2" w:rsidRDefault="00196DB1">
      <w:pPr>
        <w:pStyle w:val="Prrafodelista"/>
        <w:numPr>
          <w:ilvl w:val="0"/>
          <w:numId w:val="4"/>
        </w:numPr>
        <w:spacing w:before="113" w:after="113" w:line="360" w:lineRule="auto"/>
        <w:ind w:left="0" w:hanging="340"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es-ES"/>
        </w:rPr>
        <w:t xml:space="preserve">No momento da perda da condición de persoa beneficiaria do servizo, realizarase </w:t>
      </w:r>
      <w:r>
        <w:rPr>
          <w:rFonts w:eastAsia="Times New Roman" w:cs="Arial"/>
          <w:sz w:val="20"/>
          <w:szCs w:val="20"/>
          <w:lang w:eastAsia="es-ES"/>
        </w:rPr>
        <w:t>a liquidación definitiva pola diferenza entre os pagos efectuados mediante liquidacións, básicas ou complementarias, e a suma das achegas económicas esixibles durante o período que estivo gozando dos servizos.</w:t>
      </w:r>
    </w:p>
    <w:p w:rsidR="004371C2" w:rsidRDefault="00196DB1">
      <w:pPr>
        <w:pStyle w:val="Prrafodelista"/>
        <w:numPr>
          <w:ilvl w:val="0"/>
          <w:numId w:val="4"/>
        </w:numPr>
        <w:spacing w:before="113" w:after="113" w:line="360" w:lineRule="auto"/>
        <w:ind w:left="0" w:hanging="340"/>
        <w:jc w:val="both"/>
        <w:textAlignment w:val="baseline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No suposto de suspensión temporal dos servizos</w:t>
      </w:r>
      <w:r>
        <w:rPr>
          <w:rFonts w:eastAsia="Times New Roman" w:cs="Arial"/>
          <w:sz w:val="20"/>
          <w:szCs w:val="20"/>
          <w:lang w:eastAsia="es-ES"/>
        </w:rPr>
        <w:t>, terase en conta o seguinte:</w:t>
      </w:r>
    </w:p>
    <w:p w:rsidR="004371C2" w:rsidRDefault="00196DB1">
      <w:pPr>
        <w:pStyle w:val="Prrafodelista"/>
        <w:numPr>
          <w:ilvl w:val="3"/>
          <w:numId w:val="6"/>
        </w:numPr>
        <w:tabs>
          <w:tab w:val="left" w:pos="284"/>
        </w:tabs>
        <w:suppressAutoHyphens/>
        <w:spacing w:before="113" w:after="113" w:line="360" w:lineRule="auto"/>
        <w:ind w:left="284" w:hanging="284"/>
        <w:jc w:val="both"/>
        <w:textAlignment w:val="baseline"/>
        <w:rPr>
          <w:sz w:val="20"/>
          <w:szCs w:val="20"/>
        </w:rPr>
      </w:pPr>
      <w:r>
        <w:rPr>
          <w:rStyle w:val="Fuentedeprrafopredeter1"/>
          <w:rFonts w:cs="Calibri"/>
          <w:sz w:val="20"/>
          <w:szCs w:val="20"/>
        </w:rPr>
        <w:t xml:space="preserve">Ausencias motivadas por unha convivencia familiar, así como as que se entendan </w:t>
      </w:r>
      <w:proofErr w:type="spellStart"/>
      <w:r>
        <w:rPr>
          <w:rStyle w:val="Fuentedeprrafopredeter1"/>
          <w:rFonts w:cs="Calibri"/>
          <w:sz w:val="20"/>
          <w:szCs w:val="20"/>
        </w:rPr>
        <w:t>vencelladas</w:t>
      </w:r>
      <w:proofErr w:type="spellEnd"/>
      <w:r>
        <w:rPr>
          <w:rStyle w:val="Fuentedeprrafopredeter1"/>
          <w:rFonts w:cs="Calibri"/>
          <w:sz w:val="20"/>
          <w:szCs w:val="20"/>
        </w:rPr>
        <w:t xml:space="preserve"> a un período </w:t>
      </w:r>
      <w:proofErr w:type="spellStart"/>
      <w:r>
        <w:rPr>
          <w:rStyle w:val="Fuentedeprrafopredeter1"/>
          <w:rFonts w:cs="Calibri"/>
          <w:sz w:val="20"/>
          <w:szCs w:val="20"/>
        </w:rPr>
        <w:t>vacacional</w:t>
      </w:r>
      <w:proofErr w:type="spellEnd"/>
      <w:r>
        <w:rPr>
          <w:rStyle w:val="Fuentedeprrafopredeter1"/>
          <w:rFonts w:cs="Calibri"/>
          <w:sz w:val="20"/>
          <w:szCs w:val="20"/>
        </w:rPr>
        <w:t xml:space="preserve"> ou de descanso, que terán como máximo unha duración de 30 días naturais continuados ao ano, ou dous períodos de</w:t>
      </w:r>
      <w:r>
        <w:rPr>
          <w:rStyle w:val="Fuentedeprrafopredeter1"/>
          <w:rFonts w:cs="Calibri"/>
          <w:sz w:val="20"/>
          <w:szCs w:val="20"/>
        </w:rPr>
        <w:t xml:space="preserve"> 15 días continuados ao ano. Estas ausencias non </w:t>
      </w:r>
      <w:proofErr w:type="spellStart"/>
      <w:r>
        <w:rPr>
          <w:rStyle w:val="Fuentedeprrafopredeter1"/>
          <w:rFonts w:cs="Calibri"/>
          <w:sz w:val="20"/>
          <w:szCs w:val="20"/>
        </w:rPr>
        <w:t>deivindicarán</w:t>
      </w:r>
      <w:proofErr w:type="spellEnd"/>
      <w:r>
        <w:rPr>
          <w:rStyle w:val="Fuentedeprrafopredeter1"/>
          <w:rFonts w:cs="Calibri"/>
          <w:sz w:val="20"/>
          <w:szCs w:val="20"/>
        </w:rPr>
        <w:t xml:space="preserve"> na obriga de pago en concepto de reserva de praza, sempre e cando se comunique con antelación por parte da persoa beneficiaria esta ausencia nun período mínimo de 7 días naturais. No caso de no</w:t>
      </w:r>
      <w:r>
        <w:rPr>
          <w:rStyle w:val="Fuentedeprrafopredeter1"/>
          <w:rFonts w:cs="Calibri"/>
          <w:sz w:val="20"/>
          <w:szCs w:val="20"/>
        </w:rPr>
        <w:t xml:space="preserve">n comunicarse a ausencia no período indicado, poderán participar no custo do servizo nun 100% do importe correspondente en concepto de reserva de praza. </w:t>
      </w:r>
    </w:p>
    <w:p w:rsidR="004371C2" w:rsidRDefault="00196DB1">
      <w:pPr>
        <w:numPr>
          <w:ilvl w:val="3"/>
          <w:numId w:val="6"/>
        </w:numPr>
        <w:tabs>
          <w:tab w:val="left" w:pos="284"/>
        </w:tabs>
        <w:suppressAutoHyphens/>
        <w:spacing w:before="113" w:after="113" w:line="360" w:lineRule="auto"/>
        <w:ind w:left="284" w:hanging="284"/>
        <w:jc w:val="both"/>
        <w:rPr>
          <w:sz w:val="20"/>
          <w:szCs w:val="20"/>
        </w:rPr>
      </w:pPr>
      <w:r>
        <w:rPr>
          <w:rStyle w:val="Fuentedeprrafopredeter1"/>
          <w:rFonts w:cs="Calibri"/>
          <w:sz w:val="20"/>
          <w:szCs w:val="20"/>
        </w:rPr>
        <w:t xml:space="preserve">Ausencias puntuais non planificadas, derivadas de procesos de hospitalización ou outras situacións de </w:t>
      </w:r>
      <w:r>
        <w:rPr>
          <w:rStyle w:val="Fuentedeprrafopredeter1"/>
          <w:rFonts w:cs="Calibri"/>
          <w:sz w:val="20"/>
          <w:szCs w:val="20"/>
        </w:rPr>
        <w:t>causa maior que se poidan acreditar documentalmente. Neste caso, as persoas que se atopen nesta situación, non participarán no custo do servizo ata un máximo de 10 días naturais continuados. A partir dos mesmos, poderán participar, a criterio técnico, no c</w:t>
      </w:r>
      <w:r>
        <w:rPr>
          <w:rStyle w:val="Fuentedeprrafopredeter1"/>
          <w:rFonts w:cs="Calibri"/>
          <w:sz w:val="20"/>
          <w:szCs w:val="20"/>
        </w:rPr>
        <w:t>usto do servizo nun 40% do importe correspondente en concepto de reserva de praza.</w:t>
      </w:r>
    </w:p>
    <w:p w:rsidR="004371C2" w:rsidRDefault="00196DB1">
      <w:pPr>
        <w:numPr>
          <w:ilvl w:val="3"/>
          <w:numId w:val="6"/>
        </w:numPr>
        <w:tabs>
          <w:tab w:val="left" w:pos="284"/>
        </w:tabs>
        <w:suppressAutoHyphens/>
        <w:spacing w:before="113" w:after="113" w:line="360" w:lineRule="auto"/>
        <w:ind w:left="284" w:hanging="284"/>
        <w:jc w:val="both"/>
        <w:rPr>
          <w:sz w:val="20"/>
          <w:szCs w:val="20"/>
        </w:rPr>
      </w:pPr>
      <w:r>
        <w:rPr>
          <w:rStyle w:val="Fuentedeprrafopredeter1"/>
          <w:rFonts w:cs="Calibri"/>
          <w:sz w:val="20"/>
          <w:szCs w:val="20"/>
        </w:rPr>
        <w:t>Outras ausencias. As persoas usuarias que se ausenten do servizo por outros motivos distintos aos indicados anteriormente, participarán no custo do servizo nun 100% do impor</w:t>
      </w:r>
      <w:r>
        <w:rPr>
          <w:rStyle w:val="Fuentedeprrafopredeter1"/>
          <w:rFonts w:cs="Calibri"/>
          <w:sz w:val="20"/>
          <w:szCs w:val="20"/>
        </w:rPr>
        <w:t xml:space="preserve">te correspondente en concepto de reserva de praza. </w:t>
      </w:r>
    </w:p>
    <w:p w:rsidR="004371C2" w:rsidRDefault="00196DB1">
      <w:pPr>
        <w:pStyle w:val="Prrafodelista"/>
        <w:spacing w:before="113" w:after="113" w:line="360" w:lineRule="auto"/>
        <w:ind w:left="-284"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b/>
          <w:sz w:val="20"/>
          <w:szCs w:val="20"/>
          <w:lang w:eastAsia="es-ES"/>
        </w:rPr>
        <w:t>Artigo 7.- Pagamento do prezo público</w:t>
      </w:r>
    </w:p>
    <w:p w:rsidR="004371C2" w:rsidRDefault="00196DB1">
      <w:pPr>
        <w:pStyle w:val="Prrafodelista"/>
        <w:numPr>
          <w:ilvl w:val="0"/>
          <w:numId w:val="7"/>
        </w:numPr>
        <w:tabs>
          <w:tab w:val="left" w:pos="63"/>
        </w:tabs>
        <w:spacing w:before="113" w:after="113" w:line="360" w:lineRule="auto"/>
        <w:ind w:left="57" w:hanging="340"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es-ES"/>
        </w:rPr>
        <w:t>A recadación da achega económica mensual para a modalidade ordinaria realizarase mediante a domiciliación nunha conta corrente de titularidade da persoa obrigada ao p</w:t>
      </w:r>
      <w:r>
        <w:rPr>
          <w:rFonts w:eastAsia="Times New Roman" w:cs="Arial"/>
          <w:sz w:val="20"/>
          <w:szCs w:val="20"/>
          <w:lang w:eastAsia="es-ES"/>
        </w:rPr>
        <w:t>ago que se atope aberta nunha entidade de crédito, por meses vencidos, e dentro dos primeiros 10 días naturais dende a data da emisión da correspondente liquidación. O pago entenderase realizado na data do cargo en conta das devanditas domiciliacións, cons</w:t>
      </w:r>
      <w:r>
        <w:rPr>
          <w:rFonts w:eastAsia="Times New Roman" w:cs="Arial"/>
          <w:sz w:val="20"/>
          <w:szCs w:val="20"/>
          <w:lang w:eastAsia="es-ES"/>
        </w:rPr>
        <w:t xml:space="preserve">iderándose xustificante do ingreso o que para ese efecto expida a entidade de crédito. </w:t>
      </w:r>
    </w:p>
    <w:p w:rsidR="004371C2" w:rsidRDefault="00196DB1">
      <w:pPr>
        <w:pStyle w:val="Prrafodelista"/>
        <w:numPr>
          <w:ilvl w:val="0"/>
          <w:numId w:val="7"/>
        </w:numPr>
        <w:tabs>
          <w:tab w:val="left" w:pos="63"/>
        </w:tabs>
        <w:spacing w:before="113" w:after="113" w:line="360" w:lineRule="auto"/>
        <w:ind w:left="57" w:hanging="340"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es-ES"/>
        </w:rPr>
        <w:lastRenderedPageBreak/>
        <w:t>No suposto de devolución do recibo á entidade emisora, a Administración practicará a correspondente liquidación da débeda co contido que determina o artigo 102 da Lei 5</w:t>
      </w:r>
      <w:r>
        <w:rPr>
          <w:rFonts w:eastAsia="Times New Roman" w:cs="Arial"/>
          <w:sz w:val="20"/>
          <w:szCs w:val="20"/>
          <w:lang w:eastAsia="es-ES"/>
        </w:rPr>
        <w:t>8/2003, do 17 de decembro, Xeral Tributaria, que será notificada nos termos establecidos na Sección 3.ª do Capítulo II do Título III da devandita Lei.</w:t>
      </w:r>
    </w:p>
    <w:p w:rsidR="004371C2" w:rsidRDefault="00196DB1">
      <w:pPr>
        <w:pStyle w:val="Prrafodelista"/>
        <w:numPr>
          <w:ilvl w:val="0"/>
          <w:numId w:val="7"/>
        </w:numPr>
        <w:tabs>
          <w:tab w:val="left" w:pos="63"/>
        </w:tabs>
        <w:spacing w:before="113" w:after="113" w:line="360" w:lineRule="auto"/>
        <w:ind w:left="57" w:hanging="340"/>
        <w:jc w:val="both"/>
        <w:textAlignment w:val="baseline"/>
        <w:rPr>
          <w:color w:val="FF0000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ES"/>
        </w:rPr>
        <w:t>Expedirase polo Concello a correspondente liquidación, na que se expresará separadamente cada uns dos con</w:t>
      </w:r>
      <w:r>
        <w:rPr>
          <w:rFonts w:eastAsia="Times New Roman" w:cs="Arial"/>
          <w:sz w:val="20"/>
          <w:szCs w:val="20"/>
          <w:lang w:eastAsia="es-ES"/>
        </w:rPr>
        <w:t xml:space="preserve">ceptos liquidados, reflectindo cando menos: </w:t>
      </w:r>
    </w:p>
    <w:p w:rsidR="004371C2" w:rsidRDefault="00196DB1">
      <w:pPr>
        <w:pStyle w:val="Prrafodelista"/>
        <w:numPr>
          <w:ilvl w:val="0"/>
          <w:numId w:val="8"/>
        </w:numPr>
        <w:tabs>
          <w:tab w:val="left" w:pos="450"/>
        </w:tabs>
        <w:spacing w:before="113" w:after="113" w:line="360" w:lineRule="auto"/>
        <w:jc w:val="both"/>
        <w:textAlignment w:val="baseline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Identificación da administración que presta o servizo.</w:t>
      </w:r>
    </w:p>
    <w:p w:rsidR="004371C2" w:rsidRDefault="00196DB1">
      <w:pPr>
        <w:pStyle w:val="Prrafodelista"/>
        <w:numPr>
          <w:ilvl w:val="0"/>
          <w:numId w:val="8"/>
        </w:numPr>
        <w:tabs>
          <w:tab w:val="left" w:pos="450"/>
        </w:tabs>
        <w:spacing w:before="113" w:after="113" w:line="360" w:lineRule="auto"/>
        <w:jc w:val="both"/>
        <w:textAlignment w:val="baseline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Identificación da persoa usuaria.</w:t>
      </w:r>
    </w:p>
    <w:p w:rsidR="004371C2" w:rsidRDefault="00196DB1">
      <w:pPr>
        <w:pStyle w:val="Prrafodelista"/>
        <w:numPr>
          <w:ilvl w:val="0"/>
          <w:numId w:val="8"/>
        </w:numPr>
        <w:tabs>
          <w:tab w:val="left" w:pos="450"/>
        </w:tabs>
        <w:spacing w:before="113" w:after="113" w:line="360" w:lineRule="auto"/>
        <w:jc w:val="both"/>
        <w:textAlignment w:val="baseline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Natureza do ingreso e normativa de aplicación.</w:t>
      </w:r>
    </w:p>
    <w:p w:rsidR="004371C2" w:rsidRDefault="00196DB1">
      <w:pPr>
        <w:pStyle w:val="Prrafodelista"/>
        <w:numPr>
          <w:ilvl w:val="0"/>
          <w:numId w:val="8"/>
        </w:numPr>
        <w:tabs>
          <w:tab w:val="left" w:pos="450"/>
        </w:tabs>
        <w:spacing w:before="113" w:after="113" w:line="360" w:lineRule="auto"/>
        <w:jc w:val="both"/>
        <w:textAlignment w:val="baseline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Elementos que configuran a débeda e cantidade que se debe ingresar.</w:t>
      </w:r>
    </w:p>
    <w:p w:rsidR="004371C2" w:rsidRDefault="00196DB1">
      <w:pPr>
        <w:pStyle w:val="Prrafodelista"/>
        <w:numPr>
          <w:ilvl w:val="0"/>
          <w:numId w:val="8"/>
        </w:numPr>
        <w:tabs>
          <w:tab w:val="left" w:pos="450"/>
        </w:tabs>
        <w:spacing w:before="113" w:after="113" w:line="360" w:lineRule="auto"/>
        <w:jc w:val="both"/>
        <w:textAlignment w:val="baseline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 xml:space="preserve">A </w:t>
      </w:r>
      <w:r>
        <w:rPr>
          <w:rFonts w:eastAsia="Times New Roman" w:cs="Arial"/>
          <w:sz w:val="20"/>
          <w:szCs w:val="20"/>
          <w:lang w:eastAsia="es-ES"/>
        </w:rPr>
        <w:t>circunstancia de actualización do importe indicarase o motivo, método ou forma de actualización, e a data en que terá efectos.</w:t>
      </w:r>
    </w:p>
    <w:p w:rsidR="004371C2" w:rsidRDefault="00196DB1">
      <w:pPr>
        <w:pStyle w:val="Prrafodelista"/>
        <w:numPr>
          <w:ilvl w:val="0"/>
          <w:numId w:val="8"/>
        </w:numPr>
        <w:tabs>
          <w:tab w:val="left" w:pos="450"/>
        </w:tabs>
        <w:spacing w:before="113" w:after="113" w:line="360" w:lineRule="auto"/>
        <w:jc w:val="both"/>
        <w:textAlignment w:val="baseline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Forma, lugar e prazos nos que deberá facerse efectivo o ingreso económico, no caso de non estar domiciliado.</w:t>
      </w:r>
    </w:p>
    <w:p w:rsidR="004371C2" w:rsidRDefault="00196DB1">
      <w:pPr>
        <w:pStyle w:val="Prrafodelista"/>
        <w:numPr>
          <w:ilvl w:val="0"/>
          <w:numId w:val="8"/>
        </w:numPr>
        <w:tabs>
          <w:tab w:val="left" w:pos="450"/>
        </w:tabs>
        <w:spacing w:before="113" w:after="113" w:line="360" w:lineRule="auto"/>
        <w:jc w:val="both"/>
        <w:textAlignment w:val="baseline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Os medios de impugna</w:t>
      </w:r>
      <w:r>
        <w:rPr>
          <w:rFonts w:eastAsia="Times New Roman" w:cs="Arial"/>
          <w:sz w:val="20"/>
          <w:szCs w:val="20"/>
          <w:lang w:eastAsia="es-ES"/>
        </w:rPr>
        <w:t>ción que proceda, indicando os prazos e os órganos ante os que se deben interpoñer.</w:t>
      </w:r>
    </w:p>
    <w:p w:rsidR="004371C2" w:rsidRDefault="00196DB1">
      <w:pPr>
        <w:pStyle w:val="Prrafodelista"/>
        <w:numPr>
          <w:ilvl w:val="0"/>
          <w:numId w:val="7"/>
        </w:numPr>
        <w:tabs>
          <w:tab w:val="left" w:pos="63"/>
        </w:tabs>
        <w:spacing w:before="113" w:after="113" w:line="360" w:lineRule="auto"/>
        <w:ind w:left="57" w:hanging="340"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es-ES"/>
        </w:rPr>
        <w:t>As persoas usuarias na modalidade excepcional obrigadas ao pagamento, poderán domiciliar os pagamentos correspondentes ou realizar o ingreso na conta que conste no recibo d</w:t>
      </w:r>
      <w:r>
        <w:rPr>
          <w:rFonts w:eastAsia="Times New Roman" w:cs="Arial"/>
          <w:sz w:val="20"/>
          <w:szCs w:val="20"/>
          <w:lang w:eastAsia="es-ES"/>
        </w:rPr>
        <w:t>e liquidación.</w:t>
      </w:r>
    </w:p>
    <w:p w:rsidR="004371C2" w:rsidRDefault="00196DB1">
      <w:pPr>
        <w:spacing w:before="113" w:after="113" w:line="360" w:lineRule="auto"/>
        <w:ind w:left="-284"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b/>
          <w:bCs/>
          <w:iCs/>
          <w:sz w:val="20"/>
          <w:szCs w:val="20"/>
          <w:lang w:eastAsia="es-ES"/>
        </w:rPr>
        <w:t>Artigo 8.- Devolución de ingresos</w:t>
      </w:r>
    </w:p>
    <w:p w:rsidR="004371C2" w:rsidRDefault="00196DB1">
      <w:pPr>
        <w:spacing w:before="113" w:after="113" w:line="360" w:lineRule="auto"/>
        <w:ind w:left="-284"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es-ES"/>
        </w:rPr>
        <w:t>Cando por causas non imputables a persoa obrigada ao pagamento do prezo público non se preste o servizo ou realice a actividade, procederá á devolución do importe correspondente.</w:t>
      </w:r>
    </w:p>
    <w:p w:rsidR="004371C2" w:rsidRDefault="00196DB1">
      <w:pPr>
        <w:spacing w:before="113" w:after="113" w:line="360" w:lineRule="auto"/>
        <w:ind w:left="-284"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b/>
          <w:bCs/>
          <w:iCs/>
          <w:sz w:val="20"/>
          <w:szCs w:val="20"/>
          <w:lang w:eastAsia="es-ES"/>
        </w:rPr>
        <w:t>Artigo 9.- Procedemento de c</w:t>
      </w:r>
      <w:r>
        <w:rPr>
          <w:rFonts w:eastAsia="Times New Roman" w:cs="Arial"/>
          <w:b/>
          <w:bCs/>
          <w:iCs/>
          <w:sz w:val="20"/>
          <w:szCs w:val="20"/>
          <w:lang w:eastAsia="es-ES"/>
        </w:rPr>
        <w:t>onstrinximento</w:t>
      </w:r>
    </w:p>
    <w:p w:rsidR="004371C2" w:rsidRDefault="00196DB1">
      <w:pPr>
        <w:spacing w:before="113" w:after="113" w:line="360" w:lineRule="auto"/>
        <w:ind w:left="-284"/>
        <w:jc w:val="both"/>
        <w:textAlignment w:val="baseline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es-ES"/>
        </w:rPr>
        <w:t>As débedas por estes prezos públicos non satisfeitas en período voluntario esixiranse polo procedemento administrativo de constrinximento.</w:t>
      </w:r>
    </w:p>
    <w:p w:rsidR="004371C2" w:rsidRDefault="00196DB1">
      <w:pPr>
        <w:spacing w:before="120" w:after="0" w:line="360" w:lineRule="auto"/>
        <w:ind w:left="-284"/>
        <w:jc w:val="both"/>
        <w:textAlignment w:val="baseline"/>
        <w:rPr>
          <w:rFonts w:eastAsia="Times New Roman" w:cs="Arial"/>
          <w:b/>
          <w:sz w:val="20"/>
          <w:szCs w:val="20"/>
          <w:lang w:eastAsia="es-ES"/>
        </w:rPr>
      </w:pPr>
      <w:r>
        <w:rPr>
          <w:rFonts w:eastAsia="Times New Roman" w:cs="Arial"/>
          <w:b/>
          <w:sz w:val="20"/>
          <w:szCs w:val="20"/>
          <w:lang w:eastAsia="es-ES"/>
        </w:rPr>
        <w:t>Disposición adicional</w:t>
      </w:r>
    </w:p>
    <w:p w:rsidR="004371C2" w:rsidRDefault="00196DB1">
      <w:pPr>
        <w:spacing w:before="120" w:after="0" w:line="360" w:lineRule="auto"/>
        <w:ind w:left="-284"/>
        <w:jc w:val="both"/>
        <w:textAlignment w:val="baseline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Consideraranse como complementarios todos aqueles servizos que non estean consid</w:t>
      </w:r>
      <w:r>
        <w:rPr>
          <w:rFonts w:eastAsia="Times New Roman" w:cs="Arial"/>
          <w:sz w:val="20"/>
          <w:szCs w:val="20"/>
          <w:lang w:eastAsia="es-ES"/>
        </w:rPr>
        <w:t>erados como servizos básicos na ordenanza de acceso. No caso de que se presten polo centro, estes servizos serán a cargo da persoa usuaria e serán liquidados adicionalmente, segundo a relación de prezos que se exporá para o coñecemento público no taboleiro</w:t>
      </w:r>
      <w:r>
        <w:rPr>
          <w:rFonts w:eastAsia="Times New Roman" w:cs="Arial"/>
          <w:sz w:val="20"/>
          <w:szCs w:val="20"/>
          <w:lang w:eastAsia="es-ES"/>
        </w:rPr>
        <w:t xml:space="preserve"> do Centro.</w:t>
      </w:r>
    </w:p>
    <w:p w:rsidR="004371C2" w:rsidRDefault="00196DB1">
      <w:pPr>
        <w:spacing w:before="120" w:after="0" w:line="360" w:lineRule="auto"/>
        <w:ind w:left="-284"/>
        <w:jc w:val="both"/>
        <w:textAlignment w:val="baseline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As persoas usuarias asumirán o 100% do custo destes servizos complementarios que o centro poderá ofertar e que voluntariamente se contraten por parte das persoas usuarias. Non obstante, terase en conta para casos excepcionais  o recollido no ar</w:t>
      </w:r>
      <w:r>
        <w:rPr>
          <w:rFonts w:eastAsia="Times New Roman" w:cs="Arial"/>
          <w:sz w:val="20"/>
          <w:szCs w:val="20"/>
          <w:lang w:eastAsia="es-ES"/>
        </w:rPr>
        <w:t>tigo 44.2 do Real decreto lexislativo 2/2004, do 5 de marzo.</w:t>
      </w:r>
    </w:p>
    <w:p w:rsidR="004371C2" w:rsidRDefault="00196DB1">
      <w:pPr>
        <w:spacing w:before="120" w:after="0" w:line="360" w:lineRule="auto"/>
        <w:ind w:left="-284"/>
        <w:jc w:val="both"/>
        <w:textAlignment w:val="baseline"/>
        <w:rPr>
          <w:rFonts w:eastAsia="Times New Roman" w:cs="Arial"/>
          <w:b/>
          <w:sz w:val="20"/>
          <w:szCs w:val="20"/>
          <w:lang w:eastAsia="es-ES"/>
        </w:rPr>
      </w:pPr>
      <w:r>
        <w:rPr>
          <w:rFonts w:eastAsia="Times New Roman" w:cs="Arial"/>
          <w:b/>
          <w:sz w:val="20"/>
          <w:szCs w:val="20"/>
          <w:lang w:eastAsia="es-ES"/>
        </w:rPr>
        <w:t>Disposición final</w:t>
      </w:r>
    </w:p>
    <w:p w:rsidR="004371C2" w:rsidRDefault="00196DB1">
      <w:pPr>
        <w:spacing w:before="120" w:after="0" w:line="360" w:lineRule="auto"/>
        <w:ind w:left="-284"/>
        <w:jc w:val="both"/>
        <w:textAlignment w:val="baseline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lastRenderedPageBreak/>
        <w:t>A presente ordenanza entrará en vigor de acordo co disposto no artigo 70.2 da Lei 7/1985, de 2 de abril, Reguladora das Bases do Réxime Local, permanecendo vixente ata que se ac</w:t>
      </w:r>
      <w:r>
        <w:rPr>
          <w:rFonts w:eastAsia="Times New Roman" w:cs="Arial"/>
          <w:sz w:val="20"/>
          <w:szCs w:val="20"/>
          <w:lang w:eastAsia="es-ES"/>
        </w:rPr>
        <w:t>orde a súa modificación ou derrogación expresa.</w:t>
      </w:r>
      <w:bookmarkStart w:id="88" w:name="_GoBack"/>
      <w:bookmarkEnd w:id="88"/>
    </w:p>
    <w:sectPr w:rsidR="004371C2">
      <w:headerReference w:type="default" r:id="rId9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B1" w:rsidRDefault="00196DB1">
      <w:pPr>
        <w:spacing w:after="0" w:line="240" w:lineRule="auto"/>
      </w:pPr>
      <w:r>
        <w:separator/>
      </w:r>
    </w:p>
  </w:endnote>
  <w:endnote w:type="continuationSeparator" w:id="0">
    <w:p w:rsidR="00196DB1" w:rsidRDefault="0019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B1" w:rsidRDefault="00196DB1">
      <w:r>
        <w:separator/>
      </w:r>
    </w:p>
  </w:footnote>
  <w:footnote w:type="continuationSeparator" w:id="0">
    <w:p w:rsidR="00196DB1" w:rsidRDefault="00196DB1">
      <w:r>
        <w:continuationSeparator/>
      </w:r>
    </w:p>
  </w:footnote>
  <w:footnote w:id="1">
    <w:p w:rsidR="004371C2" w:rsidRDefault="00196DB1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t xml:space="preserve"> </w:t>
      </w:r>
      <w:r>
        <w:rPr>
          <w:i/>
          <w:sz w:val="16"/>
          <w:szCs w:val="16"/>
          <w:lang w:val="es-ES"/>
        </w:rPr>
        <w:t xml:space="preserve">Comida secundaria: </w:t>
      </w:r>
      <w:proofErr w:type="spellStart"/>
      <w:r>
        <w:rPr>
          <w:i/>
          <w:sz w:val="16"/>
          <w:szCs w:val="16"/>
          <w:lang w:val="es-ES"/>
        </w:rPr>
        <w:t>almorzo</w:t>
      </w:r>
      <w:proofErr w:type="spellEnd"/>
      <w:r>
        <w:rPr>
          <w:i/>
          <w:sz w:val="16"/>
          <w:szCs w:val="16"/>
          <w:lang w:val="es-ES"/>
        </w:rPr>
        <w:t xml:space="preserve"> e/</w:t>
      </w:r>
      <w:proofErr w:type="spellStart"/>
      <w:r>
        <w:rPr>
          <w:i/>
          <w:sz w:val="16"/>
          <w:szCs w:val="16"/>
          <w:lang w:val="es-ES"/>
        </w:rPr>
        <w:t>ou</w:t>
      </w:r>
      <w:proofErr w:type="spellEnd"/>
      <w:r>
        <w:rPr>
          <w:i/>
          <w:sz w:val="16"/>
          <w:szCs w:val="16"/>
          <w:lang w:val="es-ES"/>
        </w:rPr>
        <w:t xml:space="preserve"> </w:t>
      </w:r>
      <w:proofErr w:type="spellStart"/>
      <w:r>
        <w:rPr>
          <w:i/>
          <w:sz w:val="16"/>
          <w:szCs w:val="16"/>
          <w:lang w:val="es-ES"/>
        </w:rPr>
        <w:t>merenda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6D" w:rsidRPr="004C686D" w:rsidRDefault="004C686D" w:rsidP="004C686D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kern w:val="28"/>
        <w:sz w:val="36"/>
        <w:szCs w:val="36"/>
        <w:lang w:val="es-ES" w:eastAsia="es-ES"/>
      </w:rPr>
    </w:pPr>
    <w:r>
      <w:rPr>
        <w:rFonts w:ascii="Arial" w:eastAsia="Times New Roman" w:hAnsi="Arial" w:cs="Arial"/>
        <w:noProof/>
        <w:kern w:val="28"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2491D2C6" wp14:editId="094FAFDA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0" b="0"/>
          <wp:wrapNone/>
          <wp:docPr id="2" name="Imagen 2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86D">
      <w:rPr>
        <w:rFonts w:ascii="Arial" w:eastAsia="Times New Roman" w:hAnsi="Arial" w:cs="Arial"/>
        <w:b/>
        <w:kern w:val="28"/>
        <w:sz w:val="32"/>
        <w:szCs w:val="32"/>
        <w:lang w:val="es-ES" w:eastAsia="es-ES"/>
      </w:rPr>
      <w:t>CONCELLO DE POL</w:t>
    </w:r>
    <w:r w:rsidRPr="004C686D">
      <w:rPr>
        <w:rFonts w:ascii="Arial" w:eastAsia="Times New Roman" w:hAnsi="Arial" w:cs="Arial"/>
        <w:b/>
        <w:kern w:val="28"/>
        <w:sz w:val="34"/>
        <w:szCs w:val="34"/>
        <w:lang w:val="es-ES" w:eastAsia="es-ES"/>
      </w:rPr>
      <w:t xml:space="preserve"> </w:t>
    </w:r>
    <w:r w:rsidRPr="004C686D">
      <w:rPr>
        <w:rFonts w:ascii="Arial" w:eastAsia="Times New Roman" w:hAnsi="Arial" w:cs="Arial"/>
        <w:b/>
        <w:kern w:val="28"/>
        <w:sz w:val="36"/>
        <w:szCs w:val="36"/>
        <w:lang w:val="es-ES" w:eastAsia="es-ES"/>
      </w:rPr>
      <w:t xml:space="preserve"> </w:t>
    </w:r>
    <w:r w:rsidRPr="004C686D">
      <w:rPr>
        <w:rFonts w:ascii="Arial" w:eastAsia="Times New Roman" w:hAnsi="Arial" w:cs="Arial"/>
        <w:b/>
        <w:kern w:val="28"/>
        <w:lang w:val="es-ES" w:eastAsia="es-ES"/>
      </w:rPr>
      <w:t>(LUGO)</w:t>
    </w:r>
  </w:p>
  <w:p w:rsidR="004C686D" w:rsidRPr="004C686D" w:rsidRDefault="004C686D" w:rsidP="004C686D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kern w:val="28"/>
        <w:sz w:val="16"/>
        <w:szCs w:val="16"/>
        <w:lang w:val="es-ES" w:eastAsia="es-ES"/>
      </w:rPr>
    </w:pPr>
    <w:r w:rsidRPr="004C686D">
      <w:rPr>
        <w:rFonts w:ascii="Arial" w:eastAsia="Times New Roman" w:hAnsi="Arial" w:cs="Arial"/>
        <w:kern w:val="28"/>
        <w:sz w:val="16"/>
        <w:szCs w:val="16"/>
        <w:lang w:val="es-ES" w:eastAsia="es-ES"/>
      </w:rPr>
      <w:t>C.I.F. P-2704600B · R.E.L. 01270462</w:t>
    </w:r>
  </w:p>
  <w:p w:rsidR="004C686D" w:rsidRPr="004C686D" w:rsidRDefault="004C686D" w:rsidP="004C686D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kern w:val="28"/>
        <w:sz w:val="16"/>
        <w:szCs w:val="16"/>
        <w:lang w:val="es-ES" w:eastAsia="es-ES"/>
      </w:rPr>
    </w:pPr>
    <w:r w:rsidRPr="004C686D">
      <w:rPr>
        <w:rFonts w:ascii="Arial" w:eastAsia="Times New Roman" w:hAnsi="Arial" w:cs="Arial"/>
        <w:noProof/>
        <w:kern w:val="28"/>
        <w:sz w:val="16"/>
        <w:szCs w:val="16"/>
        <w:lang w:val="es-MX" w:eastAsia="es-ES"/>
      </w:rPr>
      <w:pict>
        <v:line id="_x0000_s2050" style="position:absolute;z-index:251660288" from="0,4.55pt" to="462pt,4.55pt"/>
      </w:pict>
    </w:r>
  </w:p>
  <w:p w:rsidR="004C686D" w:rsidRPr="004C686D" w:rsidRDefault="004C686D" w:rsidP="004C686D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kern w:val="28"/>
        <w:sz w:val="16"/>
        <w:szCs w:val="16"/>
        <w:lang w:val="es-ES" w:eastAsia="es-ES"/>
      </w:rPr>
    </w:pPr>
    <w:r w:rsidRPr="004C686D">
      <w:rPr>
        <w:rFonts w:ascii="Arial" w:eastAsia="Times New Roman" w:hAnsi="Arial" w:cs="Arial"/>
        <w:kern w:val="28"/>
        <w:sz w:val="16"/>
        <w:szCs w:val="16"/>
        <w:lang w:val="es-ES" w:eastAsia="es-ES"/>
      </w:rPr>
      <w:t xml:space="preserve">Plaza de Galicia, 1 · 27270 </w:t>
    </w:r>
    <w:proofErr w:type="spellStart"/>
    <w:r w:rsidRPr="004C686D">
      <w:rPr>
        <w:rFonts w:ascii="Arial" w:eastAsia="Times New Roman" w:hAnsi="Arial" w:cs="Arial"/>
        <w:kern w:val="28"/>
        <w:sz w:val="16"/>
        <w:szCs w:val="16"/>
        <w:lang w:val="es-ES" w:eastAsia="es-ES"/>
      </w:rPr>
      <w:t>Mosteiro</w:t>
    </w:r>
    <w:proofErr w:type="spellEnd"/>
    <w:r w:rsidRPr="004C686D">
      <w:rPr>
        <w:rFonts w:ascii="Arial" w:eastAsia="Times New Roman" w:hAnsi="Arial" w:cs="Arial"/>
        <w:kern w:val="28"/>
        <w:sz w:val="16"/>
        <w:szCs w:val="16"/>
        <w:lang w:val="es-ES" w:eastAsia="es-ES"/>
      </w:rPr>
      <w:t xml:space="preserve"> – Pol · Tel. 982 345 029 / 982 345 038 · Fax 982 345 330</w:t>
    </w:r>
  </w:p>
  <w:p w:rsidR="004C686D" w:rsidRDefault="004C68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7F46"/>
    <w:multiLevelType w:val="multilevel"/>
    <w:tmpl w:val="CF207592"/>
    <w:lvl w:ilvl="0">
      <w:start w:val="11"/>
      <w:numFmt w:val="lowerLetter"/>
      <w:lvlText w:val="%1)"/>
      <w:lvlJc w:val="left"/>
      <w:pPr>
        <w:ind w:left="72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eastAsia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031F"/>
    <w:multiLevelType w:val="multilevel"/>
    <w:tmpl w:val="F39C4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45645"/>
    <w:multiLevelType w:val="multilevel"/>
    <w:tmpl w:val="CE0E8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858F7"/>
    <w:multiLevelType w:val="multilevel"/>
    <w:tmpl w:val="9A4E3C76"/>
    <w:lvl w:ilvl="0">
      <w:start w:val="1"/>
      <w:numFmt w:val="lowerLetter"/>
      <w:lvlText w:val="%1)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A0474C1"/>
    <w:multiLevelType w:val="multilevel"/>
    <w:tmpl w:val="A5A66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7E67992"/>
    <w:multiLevelType w:val="multilevel"/>
    <w:tmpl w:val="5DD66B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464B1"/>
    <w:multiLevelType w:val="multilevel"/>
    <w:tmpl w:val="64E879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AA635F8"/>
    <w:multiLevelType w:val="multilevel"/>
    <w:tmpl w:val="3A46E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2D104B7"/>
    <w:multiLevelType w:val="multilevel"/>
    <w:tmpl w:val="21C0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1C2"/>
    <w:rsid w:val="00196DB1"/>
    <w:rsid w:val="004371C2"/>
    <w:rsid w:val="004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60"/>
    <w:pPr>
      <w:spacing w:after="200" w:line="276" w:lineRule="auto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  <w:rsid w:val="00CC31D4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66331"/>
    <w:rPr>
      <w:rFonts w:ascii="Tahoma" w:hAnsi="Tahoma" w:cs="Tahoma"/>
      <w:sz w:val="16"/>
      <w:szCs w:val="16"/>
      <w:lang w:val="gl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0553C5"/>
    <w:rPr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0553C5"/>
    <w:rPr>
      <w:vertAlign w:val="superscript"/>
    </w:rPr>
  </w:style>
  <w:style w:type="character" w:customStyle="1" w:styleId="ListLabel1">
    <w:name w:val="ListLabel 1"/>
    <w:qFormat/>
    <w:rPr>
      <w:rFonts w:cs="Calibri"/>
      <w:b w:val="0"/>
      <w:bCs w:val="0"/>
      <w:color w:val="00000A"/>
      <w:sz w:val="20"/>
      <w:szCs w:val="20"/>
      <w:lang w:val="es-ES"/>
    </w:rPr>
  </w:style>
  <w:style w:type="character" w:customStyle="1" w:styleId="ListLabel2">
    <w:name w:val="ListLabel 2"/>
    <w:qFormat/>
    <w:rPr>
      <w:rFonts w:cs="Calibri"/>
      <w:b w:val="0"/>
      <w:color w:val="00000A"/>
      <w:sz w:val="20"/>
      <w:szCs w:val="20"/>
      <w:lang w:val="gl-ES"/>
    </w:rPr>
  </w:style>
  <w:style w:type="character" w:customStyle="1" w:styleId="ListLabel3">
    <w:name w:val="ListLabel 3"/>
    <w:qFormat/>
    <w:rPr>
      <w:rFonts w:cs="Calibri"/>
      <w:b w:val="0"/>
      <w:sz w:val="20"/>
      <w:szCs w:val="20"/>
      <w:lang w:val="gl-ES"/>
    </w:rPr>
  </w:style>
  <w:style w:type="character" w:customStyle="1" w:styleId="ListLabel4">
    <w:name w:val="ListLabel 4"/>
    <w:qFormat/>
    <w:rPr>
      <w:rFonts w:cs="Calibri"/>
      <w:b w:val="0"/>
      <w:bCs w:val="0"/>
      <w:color w:val="00000A"/>
      <w:sz w:val="20"/>
      <w:szCs w:val="20"/>
      <w:lang w:val="es-ES"/>
    </w:rPr>
  </w:style>
  <w:style w:type="character" w:customStyle="1" w:styleId="ListLabel5">
    <w:name w:val="ListLabel 5"/>
    <w:qFormat/>
    <w:rPr>
      <w:rFonts w:cs="Calibri"/>
      <w:b w:val="0"/>
      <w:color w:val="00000A"/>
      <w:sz w:val="20"/>
      <w:szCs w:val="20"/>
      <w:lang w:val="gl-ES"/>
    </w:rPr>
  </w:style>
  <w:style w:type="character" w:customStyle="1" w:styleId="ListLabel6">
    <w:name w:val="ListLabel 6"/>
    <w:qFormat/>
    <w:rPr>
      <w:rFonts w:eastAsia="SimSun" w:cs="Calibri"/>
      <w:b w:val="0"/>
      <w:sz w:val="20"/>
      <w:szCs w:val="20"/>
      <w:lang w:val="gl-ES"/>
    </w:rPr>
  </w:style>
  <w:style w:type="character" w:customStyle="1" w:styleId="ListLabel7">
    <w:name w:val="ListLabel 7"/>
    <w:qFormat/>
    <w:rPr>
      <w:b/>
      <w:sz w:val="20"/>
      <w:szCs w:val="20"/>
    </w:rPr>
  </w:style>
  <w:style w:type="character" w:customStyle="1" w:styleId="ListLabel8">
    <w:name w:val="ListLabel 8"/>
    <w:qFormat/>
    <w:rPr>
      <w:rFonts w:cs="Calibri"/>
      <w:sz w:val="20"/>
    </w:rPr>
  </w:style>
  <w:style w:type="character" w:customStyle="1" w:styleId="ListLabel9">
    <w:name w:val="ListLabel 9"/>
    <w:qFormat/>
    <w:rPr>
      <w:rFonts w:cs="Calibri"/>
      <w:sz w:val="20"/>
    </w:rPr>
  </w:style>
  <w:style w:type="character" w:customStyle="1" w:styleId="ListLabel10">
    <w:name w:val="ListLabel 10"/>
    <w:qFormat/>
    <w:rPr>
      <w:rFonts w:cs="Calibri"/>
      <w:sz w:val="20"/>
    </w:rPr>
  </w:style>
  <w:style w:type="character" w:customStyle="1" w:styleId="ListLabel11">
    <w:name w:val="ListLabel 11"/>
    <w:qFormat/>
    <w:rPr>
      <w:rFonts w:cs="Calibri"/>
      <w:sz w:val="20"/>
    </w:rPr>
  </w:style>
  <w:style w:type="character" w:customStyle="1" w:styleId="ListLabel12">
    <w:name w:val="ListLabel 12"/>
    <w:qFormat/>
    <w:rPr>
      <w:rFonts w:cs="Calibri"/>
      <w:sz w:val="20"/>
    </w:rPr>
  </w:style>
  <w:style w:type="character" w:customStyle="1" w:styleId="ListLabel13">
    <w:name w:val="ListLabel 13"/>
    <w:qFormat/>
    <w:rPr>
      <w:rFonts w:cs="Calibri"/>
      <w:sz w:val="20"/>
    </w:rPr>
  </w:style>
  <w:style w:type="character" w:customStyle="1" w:styleId="ListLabel14">
    <w:name w:val="ListLabel 14"/>
    <w:qFormat/>
    <w:rPr>
      <w:rFonts w:cs="Calibri"/>
      <w:sz w:val="20"/>
    </w:rPr>
  </w:style>
  <w:style w:type="character" w:customStyle="1" w:styleId="ListLabel15">
    <w:name w:val="ListLabel 15"/>
    <w:qFormat/>
    <w:rPr>
      <w:rFonts w:cs="Calibri"/>
      <w:sz w:val="20"/>
    </w:rPr>
  </w:style>
  <w:style w:type="character" w:customStyle="1" w:styleId="ListLabel16">
    <w:name w:val="ListLabel 16"/>
    <w:qFormat/>
    <w:rPr>
      <w:rFonts w:cs="Calibri"/>
      <w:sz w:val="20"/>
      <w:szCs w:val="20"/>
    </w:rPr>
  </w:style>
  <w:style w:type="character" w:customStyle="1" w:styleId="ListLabel17">
    <w:name w:val="ListLabel 17"/>
    <w:qFormat/>
    <w:rPr>
      <w:rFonts w:cs="Calibri"/>
      <w:sz w:val="20"/>
      <w:szCs w:val="20"/>
    </w:rPr>
  </w:style>
  <w:style w:type="character" w:customStyle="1" w:styleId="ListLabel18">
    <w:name w:val="ListLabel 18"/>
    <w:qFormat/>
    <w:rPr>
      <w:rFonts w:cs="Calibri"/>
      <w:b w:val="0"/>
      <w:bCs w:val="0"/>
      <w:color w:val="000000"/>
      <w:sz w:val="20"/>
      <w:szCs w:val="20"/>
      <w:lang w:val="es-ES"/>
    </w:rPr>
  </w:style>
  <w:style w:type="character" w:customStyle="1" w:styleId="ListLabel19">
    <w:name w:val="ListLabel 19"/>
    <w:qFormat/>
    <w:rPr>
      <w:rFonts w:cs="Calibri"/>
      <w:b w:val="0"/>
      <w:color w:val="000000"/>
      <w:sz w:val="20"/>
      <w:szCs w:val="20"/>
      <w:lang w:val="gl-ES"/>
    </w:rPr>
  </w:style>
  <w:style w:type="character" w:customStyle="1" w:styleId="ListLabel20">
    <w:name w:val="ListLabel 20"/>
    <w:qFormat/>
    <w:rPr>
      <w:rFonts w:cs="Calibri"/>
      <w:b w:val="0"/>
      <w:sz w:val="20"/>
      <w:szCs w:val="20"/>
      <w:lang w:val="gl-ES"/>
    </w:rPr>
  </w:style>
  <w:style w:type="character" w:customStyle="1" w:styleId="ListLabel21">
    <w:name w:val="ListLabel 21"/>
    <w:qFormat/>
    <w:rPr>
      <w:rFonts w:cs="Calibri"/>
      <w:lang w:val="gl-ES"/>
    </w:rPr>
  </w:style>
  <w:style w:type="character" w:customStyle="1" w:styleId="ListLabel22">
    <w:name w:val="ListLabel 22"/>
    <w:qFormat/>
    <w:rPr>
      <w:rFonts w:cs="Calibri"/>
      <w:lang w:val="gl-E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alibri"/>
      <w:sz w:val="20"/>
      <w:szCs w:val="20"/>
    </w:rPr>
  </w:style>
  <w:style w:type="character" w:customStyle="1" w:styleId="ListLabel27">
    <w:name w:val="ListLabel 27"/>
    <w:qFormat/>
    <w:rPr>
      <w:rFonts w:eastAsia="Calibri" w:cs="Calibri"/>
      <w:sz w:val="20"/>
      <w:szCs w:val="20"/>
    </w:rPr>
  </w:style>
  <w:style w:type="character" w:customStyle="1" w:styleId="ListLabel28">
    <w:name w:val="ListLabel 28"/>
    <w:qFormat/>
    <w:rPr>
      <w:color w:val="00000A"/>
      <w:sz w:val="20"/>
    </w:rPr>
  </w:style>
  <w:style w:type="character" w:customStyle="1" w:styleId="ListLabel29">
    <w:name w:val="ListLabel 29"/>
    <w:qFormat/>
    <w:rPr>
      <w:rFonts w:eastAsia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84DF7"/>
    <w:pPr>
      <w:ind w:left="720"/>
      <w:contextualSpacing/>
    </w:pPr>
  </w:style>
  <w:style w:type="paragraph" w:customStyle="1" w:styleId="Standard">
    <w:name w:val="Standard"/>
    <w:qFormat/>
    <w:rsid w:val="00605D51"/>
    <w:pPr>
      <w:suppressAutoHyphens/>
      <w:textAlignment w:val="baseline"/>
    </w:pPr>
    <w:rPr>
      <w:rFonts w:ascii="Liberation Serif" w:eastAsia="SimSun, 宋体" w:hAnsi="Liberation Serif" w:cs="Arial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663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</w:style>
  <w:style w:type="paragraph" w:customStyle="1" w:styleId="western">
    <w:name w:val="western"/>
    <w:basedOn w:val="Normal"/>
    <w:qFormat/>
    <w:rsid w:val="005F4A22"/>
    <w:pPr>
      <w:spacing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qFormat/>
    <w:rsid w:val="005F4A2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numbering" w:customStyle="1" w:styleId="WW8Num10">
    <w:name w:val="WW8Num10"/>
    <w:qFormat/>
    <w:rsid w:val="00605D51"/>
  </w:style>
  <w:style w:type="numbering" w:customStyle="1" w:styleId="WW8Num27">
    <w:name w:val="WW8Num27"/>
    <w:qFormat/>
    <w:rsid w:val="00605D51"/>
  </w:style>
  <w:style w:type="table" w:styleId="Tablaconcuadrcula">
    <w:name w:val="Table Grid"/>
    <w:basedOn w:val="Tablanormal"/>
    <w:uiPriority w:val="59"/>
    <w:rsid w:val="000553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8F6F4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C6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86D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4C6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86D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0E97-E2A9-4FA4-9DD9-CA213ABD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2959</Words>
  <Characters>16280</Characters>
  <Application>Microsoft Office Word</Application>
  <DocSecurity>0</DocSecurity>
  <Lines>135</Lines>
  <Paragraphs>38</Paragraphs>
  <ScaleCrop>false</ScaleCrop>
  <Company>Hewlett-Packard Company</Company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20</cp:revision>
  <cp:lastPrinted>2018-07-12T10:08:00Z</cp:lastPrinted>
  <dcterms:created xsi:type="dcterms:W3CDTF">2018-07-12T11:57:00Z</dcterms:created>
  <dcterms:modified xsi:type="dcterms:W3CDTF">2018-07-20T09:24:00Z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